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72" w:rsidRDefault="000E0072" w:rsidP="000E0072">
      <w:pPr>
        <w:suppressAutoHyphens/>
        <w:jc w:val="right"/>
        <w:rPr>
          <w:rFonts w:ascii="Geneva" w:hAnsi="Geneva"/>
          <w:b/>
          <w:color w:val="984806"/>
          <w:sz w:val="24"/>
        </w:rPr>
      </w:pPr>
      <w:r>
        <w:rPr>
          <w:rFonts w:ascii="Geneva" w:hAnsi="Geneva"/>
          <w:noProof/>
          <w:color w:val="F96A1B" w:themeColor="accent2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7BC7FBB" wp14:editId="257CF463">
            <wp:simplePos x="0" y="0"/>
            <wp:positionH relativeFrom="column">
              <wp:posOffset>4785360</wp:posOffset>
            </wp:positionH>
            <wp:positionV relativeFrom="paragraph">
              <wp:posOffset>-581660</wp:posOffset>
            </wp:positionV>
            <wp:extent cx="1727835" cy="607060"/>
            <wp:effectExtent l="0" t="0" r="5715" b="2540"/>
            <wp:wrapNone/>
            <wp:docPr id="3" name="Picture 3" descr="http://www.wvi.org/wvi/images/main/wvi-1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vi.org/wvi/images/main/wvi-1_0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072" w:rsidRDefault="000E0072" w:rsidP="00E51EFC">
      <w:pPr>
        <w:suppressAutoHyphens/>
        <w:rPr>
          <w:rFonts w:ascii="Geneva" w:hAnsi="Geneva"/>
          <w:b/>
          <w:color w:val="984806"/>
          <w:sz w:val="24"/>
        </w:rPr>
      </w:pPr>
    </w:p>
    <w:p w:rsidR="000E0072" w:rsidRDefault="000E0072" w:rsidP="00E51EFC">
      <w:pPr>
        <w:suppressAutoHyphens/>
        <w:rPr>
          <w:rFonts w:ascii="Geneva" w:hAnsi="Geneva"/>
          <w:b/>
          <w:color w:val="984806"/>
          <w:sz w:val="24"/>
        </w:rPr>
      </w:pPr>
    </w:p>
    <w:p w:rsidR="000E0072" w:rsidRDefault="000E0072" w:rsidP="000E0072">
      <w:pPr>
        <w:suppressAutoHyphens/>
        <w:jc w:val="center"/>
        <w:rPr>
          <w:rFonts w:ascii="Geneva" w:hAnsi="Geneva"/>
          <w:color w:val="F96A1B" w:themeColor="accent2"/>
          <w:sz w:val="40"/>
          <w:szCs w:val="40"/>
        </w:rPr>
      </w:pPr>
      <w:r>
        <w:rPr>
          <w:rFonts w:ascii="Geneva" w:hAnsi="Geneva"/>
          <w:color w:val="F96A1B" w:themeColor="accent2"/>
          <w:sz w:val="40"/>
          <w:szCs w:val="40"/>
        </w:rPr>
        <w:t xml:space="preserve">Gender and Development </w:t>
      </w:r>
    </w:p>
    <w:p w:rsidR="000E0072" w:rsidRPr="00E51EFC" w:rsidRDefault="000E0072" w:rsidP="000E0072">
      <w:pPr>
        <w:suppressAutoHyphens/>
        <w:jc w:val="center"/>
        <w:rPr>
          <w:rFonts w:ascii="Geneva" w:hAnsi="Geneva"/>
          <w:color w:val="F96A1B" w:themeColor="accent2"/>
          <w:sz w:val="40"/>
          <w:szCs w:val="40"/>
        </w:rPr>
      </w:pPr>
      <w:r w:rsidRPr="00E51EFC">
        <w:rPr>
          <w:rFonts w:ascii="Geneva" w:hAnsi="Geneva"/>
          <w:color w:val="F96A1B" w:themeColor="accent2"/>
          <w:sz w:val="40"/>
          <w:szCs w:val="40"/>
        </w:rPr>
        <w:t>Community Change Project Model</w:t>
      </w:r>
    </w:p>
    <w:p w:rsidR="000E0072" w:rsidRDefault="000E0072" w:rsidP="000E0072">
      <w:pPr>
        <w:suppressAutoHyphens/>
        <w:jc w:val="center"/>
        <w:rPr>
          <w:rFonts w:ascii="Geneva" w:hAnsi="Geneva"/>
          <w:b/>
          <w:color w:val="984806"/>
          <w:sz w:val="24"/>
        </w:rPr>
      </w:pPr>
    </w:p>
    <w:p w:rsidR="000E0072" w:rsidRDefault="000E0072" w:rsidP="00E51EFC">
      <w:pPr>
        <w:suppressAutoHyphens/>
        <w:rPr>
          <w:rFonts w:ascii="Geneva" w:hAnsi="Geneva"/>
          <w:b/>
          <w:color w:val="984806"/>
          <w:sz w:val="24"/>
        </w:rPr>
      </w:pPr>
    </w:p>
    <w:p w:rsidR="00E51EFC" w:rsidRPr="00DB6579" w:rsidRDefault="00E51EFC" w:rsidP="00E51EFC">
      <w:pPr>
        <w:suppressAutoHyphens/>
        <w:rPr>
          <w:rFonts w:ascii="Geneva" w:hAnsi="Geneva"/>
          <w:b/>
          <w:color w:val="984806"/>
          <w:sz w:val="24"/>
        </w:rPr>
      </w:pPr>
      <w:r>
        <w:rPr>
          <w:rFonts w:ascii="Geneva" w:hAnsi="Geneva"/>
          <w:b/>
          <w:color w:val="984806"/>
          <w:sz w:val="24"/>
        </w:rPr>
        <w:t>What is the Community Change Methodology</w:t>
      </w:r>
      <w:r w:rsidRPr="00DB6579">
        <w:rPr>
          <w:rFonts w:ascii="Geneva" w:hAnsi="Geneva"/>
          <w:b/>
          <w:color w:val="984806"/>
          <w:sz w:val="24"/>
        </w:rPr>
        <w:t>?</w:t>
      </w:r>
    </w:p>
    <w:p w:rsidR="00E51EFC" w:rsidRDefault="00E51EFC" w:rsidP="00E51EFC">
      <w:pPr>
        <w:pStyle w:val="BodyText"/>
        <w:suppressAutoHyphens/>
        <w:rPr>
          <w:rFonts w:ascii="Helvetica" w:hAnsi="Helvetica"/>
          <w:b/>
          <w:sz w:val="22"/>
          <w:szCs w:val="24"/>
        </w:rPr>
      </w:pPr>
    </w:p>
    <w:p w:rsidR="00E51EFC" w:rsidRPr="009B5294" w:rsidRDefault="00E51EFC" w:rsidP="00E51EFC">
      <w:pPr>
        <w:pStyle w:val="BodyText"/>
        <w:suppressAutoHyphens/>
        <w:rPr>
          <w:rFonts w:ascii="Helvetica" w:hAnsi="Helvetica"/>
          <w:sz w:val="22"/>
        </w:rPr>
      </w:pPr>
      <w:r w:rsidRPr="008805D0">
        <w:rPr>
          <w:rFonts w:ascii="Helvetica" w:hAnsi="Helvetica"/>
          <w:b/>
          <w:sz w:val="22"/>
          <w:szCs w:val="24"/>
        </w:rPr>
        <w:t>Community Change</w:t>
      </w:r>
      <w:r w:rsidRPr="005D0B3B">
        <w:rPr>
          <w:rFonts w:ascii="Helvetica" w:hAnsi="Helvetica"/>
          <w:sz w:val="22"/>
          <w:szCs w:val="24"/>
        </w:rPr>
        <w:t xml:space="preserve"> is a </w:t>
      </w:r>
      <w:r w:rsidRPr="00DD45B5">
        <w:rPr>
          <w:rFonts w:ascii="Helvetica" w:hAnsi="Helvetica"/>
          <w:b/>
          <w:i/>
          <w:sz w:val="22"/>
          <w:szCs w:val="24"/>
        </w:rPr>
        <w:t>transformational</w:t>
      </w:r>
      <w:r w:rsidRPr="005D0B3B">
        <w:rPr>
          <w:rFonts w:ascii="Helvetica" w:hAnsi="Helvetica"/>
          <w:sz w:val="22"/>
          <w:szCs w:val="24"/>
        </w:rPr>
        <w:t xml:space="preserve"> rathe</w:t>
      </w:r>
      <w:r>
        <w:rPr>
          <w:rFonts w:ascii="Helvetica" w:hAnsi="Helvetica"/>
          <w:sz w:val="22"/>
          <w:szCs w:val="24"/>
        </w:rPr>
        <w:t>r than an educational approach to change. It works at both the individual and community level</w:t>
      </w:r>
      <w:r w:rsidRPr="00D00212">
        <w:rPr>
          <w:rFonts w:ascii="Helvetica" w:hAnsi="Helvetica"/>
          <w:sz w:val="22"/>
        </w:rPr>
        <w:t xml:space="preserve">. </w:t>
      </w:r>
      <w:r>
        <w:rPr>
          <w:rFonts w:ascii="Helvetica" w:hAnsi="Helvetica"/>
          <w:sz w:val="22"/>
        </w:rPr>
        <w:t xml:space="preserve"> </w:t>
      </w:r>
      <w:r w:rsidRPr="00D00212">
        <w:rPr>
          <w:rFonts w:ascii="Helvetica" w:hAnsi="Helvetica"/>
          <w:sz w:val="22"/>
        </w:rPr>
        <w:t xml:space="preserve">The </w:t>
      </w:r>
      <w:r w:rsidRPr="008805D0">
        <w:rPr>
          <w:rFonts w:ascii="Helvetica" w:hAnsi="Helvetica"/>
          <w:b/>
          <w:sz w:val="22"/>
        </w:rPr>
        <w:t>Community Change</w:t>
      </w:r>
      <w:r w:rsidRPr="00D00212">
        <w:rPr>
          <w:rFonts w:ascii="Helvetica" w:hAnsi="Helvetica"/>
          <w:sz w:val="22"/>
        </w:rPr>
        <w:t xml:space="preserve"> approach proposes that positive behavior change </w:t>
      </w:r>
      <w:r>
        <w:rPr>
          <w:rFonts w:ascii="Helvetica" w:hAnsi="Helvetica"/>
          <w:sz w:val="22"/>
        </w:rPr>
        <w:t>can happen where people talk openly</w:t>
      </w:r>
      <w:r w:rsidRPr="00D00212">
        <w:rPr>
          <w:rFonts w:ascii="Helvetica" w:hAnsi="Helvetica"/>
          <w:sz w:val="22"/>
        </w:rPr>
        <w:t xml:space="preserve"> to each other</w:t>
      </w:r>
      <w:r>
        <w:rPr>
          <w:rFonts w:ascii="Helvetica" w:hAnsi="Helvetica"/>
          <w:sz w:val="22"/>
        </w:rPr>
        <w:t xml:space="preserve"> in a safe environment.  </w:t>
      </w:r>
      <w:r w:rsidRPr="005D0B3B">
        <w:rPr>
          <w:rFonts w:ascii="Helvetica" w:hAnsi="Helvetica"/>
          <w:sz w:val="22"/>
          <w:szCs w:val="24"/>
        </w:rPr>
        <w:t xml:space="preserve">  </w:t>
      </w:r>
    </w:p>
    <w:p w:rsidR="00E51EFC" w:rsidRDefault="00E51EFC" w:rsidP="00E51EFC">
      <w:pPr>
        <w:tabs>
          <w:tab w:val="left" w:pos="4920"/>
        </w:tabs>
        <w:suppressAutoHyphens/>
      </w:pPr>
    </w:p>
    <w:p w:rsidR="00E51EFC" w:rsidRDefault="00E51EFC" w:rsidP="00E51EFC">
      <w:pPr>
        <w:tabs>
          <w:tab w:val="left" w:pos="4920"/>
        </w:tabs>
        <w:suppressAutoHyphens/>
      </w:pPr>
      <w:r>
        <w:t>The</w:t>
      </w:r>
      <w:r w:rsidRPr="005D0B3B">
        <w:t xml:space="preserve"> </w:t>
      </w:r>
      <w:r w:rsidRPr="008805D0">
        <w:rPr>
          <w:b/>
          <w:bCs/>
        </w:rPr>
        <w:t>Community Change</w:t>
      </w:r>
      <w:r w:rsidRPr="005D0B3B">
        <w:t xml:space="preserve"> approach </w:t>
      </w:r>
      <w:r>
        <w:t>depends on creating opportunities for open communication</w:t>
      </w:r>
      <w:r w:rsidRPr="005D0B3B">
        <w:t xml:space="preserve"> within communities</w:t>
      </w:r>
      <w:r>
        <w:t xml:space="preserve"> and at different levels of society, including people of different ages, sexes, minority groups, disabled and vulnerable groups.  Th</w:t>
      </w:r>
      <w:bookmarkStart w:id="0" w:name="_GoBack"/>
      <w:bookmarkEnd w:id="0"/>
      <w:r>
        <w:t>e</w:t>
      </w:r>
      <w:r w:rsidRPr="005D0B3B">
        <w:t xml:space="preserve"> focus </w:t>
      </w:r>
      <w:r>
        <w:t xml:space="preserve">is </w:t>
      </w:r>
      <w:r w:rsidRPr="005D0B3B">
        <w:t xml:space="preserve">on </w:t>
      </w:r>
      <w:r w:rsidRPr="005D0B3B">
        <w:rPr>
          <w:rFonts w:cs="FranklinGothic-Book"/>
        </w:rPr>
        <w:t xml:space="preserve">mobilizing </w:t>
      </w:r>
      <w:r>
        <w:rPr>
          <w:rFonts w:cs="FranklinGothic-Book"/>
        </w:rPr>
        <w:t xml:space="preserve">different community groups to </w:t>
      </w:r>
      <w:r>
        <w:t>create positive changes in the community and in</w:t>
      </w:r>
      <w:r w:rsidRPr="005D0B3B">
        <w:t xml:space="preserve"> society.  </w:t>
      </w:r>
    </w:p>
    <w:p w:rsidR="00E51EFC" w:rsidRDefault="00E51EFC" w:rsidP="00E51EFC">
      <w:pPr>
        <w:tabs>
          <w:tab w:val="left" w:pos="4920"/>
        </w:tabs>
        <w:suppressAutoHyphens/>
      </w:pPr>
    </w:p>
    <w:p w:rsidR="00E51EFC" w:rsidRDefault="00E51EFC" w:rsidP="00E51EFC">
      <w:pPr>
        <w:tabs>
          <w:tab w:val="left" w:pos="4920"/>
        </w:tabs>
        <w:suppressAutoHyphens/>
        <w:rPr>
          <w:b/>
          <w:bCs/>
        </w:rPr>
      </w:pPr>
      <w:r>
        <w:t xml:space="preserve">With </w:t>
      </w:r>
      <w:r w:rsidRPr="008805D0">
        <w:rPr>
          <w:b/>
          <w:bCs/>
        </w:rPr>
        <w:t>Community Change</w:t>
      </w:r>
      <w:r>
        <w:t>, the</w:t>
      </w:r>
      <w:r w:rsidRPr="00D00212">
        <w:t xml:space="preserve"> </w:t>
      </w:r>
      <w:r>
        <w:t>participants become the leaders</w:t>
      </w:r>
      <w:r w:rsidRPr="005D0B3B">
        <w:t xml:space="preserve"> of a change process </w:t>
      </w:r>
      <w:r>
        <w:t>in which they uncover</w:t>
      </w:r>
      <w:r w:rsidRPr="005D0B3B">
        <w:t xml:space="preserve"> the issues that most concern them.  It </w:t>
      </w:r>
      <w:r>
        <w:t>helps empower</w:t>
      </w:r>
      <w:r w:rsidRPr="005D0B3B">
        <w:t xml:space="preserve"> them to identify and </w:t>
      </w:r>
      <w:r>
        <w:t>carry out</w:t>
      </w:r>
      <w:r w:rsidRPr="005D0B3B">
        <w:t xml:space="preserve"> changes </w:t>
      </w:r>
      <w:r>
        <w:t>related to</w:t>
      </w:r>
      <w:r w:rsidRPr="005D0B3B">
        <w:t xml:space="preserve"> </w:t>
      </w:r>
      <w:r>
        <w:t xml:space="preserve">different </w:t>
      </w:r>
      <w:r w:rsidRPr="005D0B3B">
        <w:t>aspects</w:t>
      </w:r>
      <w:r>
        <w:t xml:space="preserve"> of their</w:t>
      </w:r>
      <w:r w:rsidRPr="005D0B3B">
        <w:t xml:space="preserve"> long-held values and customs.</w:t>
      </w:r>
    </w:p>
    <w:p w:rsidR="00E51EFC" w:rsidRDefault="00E51EFC" w:rsidP="00E51EFC">
      <w:pPr>
        <w:suppressAutoHyphens/>
      </w:pPr>
    </w:p>
    <w:p w:rsidR="00E51EFC" w:rsidRDefault="00E51EFC" w:rsidP="00E51EFC">
      <w:pPr>
        <w:suppressAutoHyphens/>
      </w:pPr>
      <w:r w:rsidRPr="008805D0">
        <w:rPr>
          <w:b/>
          <w:bCs/>
        </w:rPr>
        <w:t>Community Change</w:t>
      </w:r>
      <w:r w:rsidRPr="005D0B3B">
        <w:t xml:space="preserve"> </w:t>
      </w:r>
      <w:r>
        <w:t xml:space="preserve">has been successful because it is based on recognizing that community members have </w:t>
      </w:r>
      <w:r w:rsidRPr="005D0B3B">
        <w:t xml:space="preserve">the capacity to change, </w:t>
      </w:r>
      <w:r>
        <w:t xml:space="preserve">to </w:t>
      </w:r>
      <w:r w:rsidRPr="005D0B3B">
        <w:t xml:space="preserve">create knowledge, and sustain hope </w:t>
      </w:r>
      <w:r>
        <w:t>even as they face challenging or difficult situations</w:t>
      </w:r>
      <w:r w:rsidRPr="005D0B3B">
        <w:t xml:space="preserve">. </w:t>
      </w:r>
      <w:r>
        <w:t xml:space="preserve"> </w:t>
      </w:r>
      <w:r w:rsidRPr="008805D0">
        <w:rPr>
          <w:b/>
          <w:bCs/>
        </w:rPr>
        <w:t>Community Change</w:t>
      </w:r>
      <w:r>
        <w:t xml:space="preserve"> helps communities take action and identify partners and resources to overcome their problems.</w:t>
      </w:r>
    </w:p>
    <w:p w:rsidR="00E51EFC" w:rsidRDefault="00E51EFC" w:rsidP="00E51EFC">
      <w:pPr>
        <w:suppressAutoHyphens/>
      </w:pPr>
    </w:p>
    <w:p w:rsidR="00E51EFC" w:rsidRPr="005D0B3B" w:rsidRDefault="00E51EFC" w:rsidP="00E51EFC">
      <w:pPr>
        <w:suppressAutoHyphens/>
      </w:pPr>
      <w:r>
        <w:t xml:space="preserve">Another important aspect of </w:t>
      </w:r>
      <w:r w:rsidRPr="008805D0">
        <w:rPr>
          <w:b/>
          <w:bCs/>
        </w:rPr>
        <w:t>Community Change</w:t>
      </w:r>
      <w:r w:rsidRPr="005D0B3B">
        <w:t xml:space="preserve"> </w:t>
      </w:r>
      <w:r>
        <w:t>is that it</w:t>
      </w:r>
      <w:r w:rsidRPr="005D0B3B">
        <w:t xml:space="preserve"> reinforces </w:t>
      </w:r>
      <w:r>
        <w:t xml:space="preserve">each </w:t>
      </w:r>
      <w:r w:rsidRPr="005D0B3B">
        <w:t>community</w:t>
      </w:r>
      <w:r>
        <w:t>’s</w:t>
      </w:r>
      <w:r w:rsidRPr="005D0B3B">
        <w:t xml:space="preserve"> capacity </w:t>
      </w:r>
      <w:r>
        <w:t xml:space="preserve">and possibility </w:t>
      </w:r>
      <w:r w:rsidRPr="005D0B3B">
        <w:t xml:space="preserve">to generate and transfer knowledge </w:t>
      </w:r>
      <w:r>
        <w:t>and lessons learned to other communities.</w:t>
      </w:r>
      <w:r w:rsidRPr="005D0B3B">
        <w:t xml:space="preserve"> </w:t>
      </w:r>
      <w:r>
        <w:t xml:space="preserve"> </w:t>
      </w:r>
      <w:r w:rsidRPr="005D0B3B">
        <w:t>Once begun, this process of transfer repeats itself, from community to comm</w:t>
      </w:r>
      <w:r>
        <w:t xml:space="preserve">unity, as well as among a </w:t>
      </w:r>
      <w:r w:rsidRPr="005D0B3B">
        <w:t xml:space="preserve">growing </w:t>
      </w:r>
      <w:r>
        <w:t>group</w:t>
      </w:r>
      <w:r w:rsidRPr="005D0B3B">
        <w:t xml:space="preserve"> of </w:t>
      </w:r>
      <w:r>
        <w:t xml:space="preserve">people </w:t>
      </w:r>
      <w:r w:rsidRPr="005D0B3B">
        <w:t xml:space="preserve">skilled </w:t>
      </w:r>
      <w:r>
        <w:t>in implementing and facilitating the process.  In this way</w:t>
      </w:r>
      <w:r w:rsidRPr="005D0B3B">
        <w:t xml:space="preserve">, </w:t>
      </w:r>
      <w:r w:rsidRPr="008805D0">
        <w:rPr>
          <w:b/>
          <w:bCs/>
        </w:rPr>
        <w:t>Community Change</w:t>
      </w:r>
      <w:r>
        <w:t xml:space="preserve"> opens the possibility of </w:t>
      </w:r>
      <w:r w:rsidRPr="005D0B3B">
        <w:t xml:space="preserve">contributing to </w:t>
      </w:r>
      <w:r>
        <w:t xml:space="preserve">protection, education, </w:t>
      </w:r>
      <w:r w:rsidRPr="005D0B3B">
        <w:t xml:space="preserve">health and </w:t>
      </w:r>
      <w:r>
        <w:t xml:space="preserve">other </w:t>
      </w:r>
      <w:r w:rsidRPr="005D0B3B">
        <w:t>development challenges</w:t>
      </w:r>
      <w:r>
        <w:t xml:space="preserve"> at a regional or national scale</w:t>
      </w:r>
      <w:r w:rsidRPr="005D0B3B">
        <w:t>.</w:t>
      </w:r>
    </w:p>
    <w:p w:rsidR="00E51EFC" w:rsidRPr="005D0B3B" w:rsidRDefault="00E51EFC" w:rsidP="00E51EFC">
      <w:pPr>
        <w:suppressAutoHyphens/>
      </w:pPr>
    </w:p>
    <w:p w:rsidR="00E51EFC" w:rsidRPr="005D0B3B" w:rsidRDefault="00E51EFC" w:rsidP="00E51EFC">
      <w:pPr>
        <w:suppressAutoHyphens/>
      </w:pPr>
      <w:r>
        <w:t>Facilitators can help strengthen</w:t>
      </w:r>
      <w:r w:rsidRPr="005D0B3B">
        <w:t xml:space="preserve"> </w:t>
      </w:r>
      <w:r>
        <w:t>a community’s</w:t>
      </w:r>
      <w:r w:rsidRPr="005D0B3B">
        <w:t xml:space="preserve"> capacities </w:t>
      </w:r>
      <w:r>
        <w:t>by using the</w:t>
      </w:r>
      <w:r w:rsidRPr="005D0B3B">
        <w:t xml:space="preserve"> </w:t>
      </w:r>
      <w:r>
        <w:t xml:space="preserve">tools and </w:t>
      </w:r>
      <w:r w:rsidRPr="005D0B3B" w:rsidDel="00FC5DB5">
        <w:t>approaches</w:t>
      </w:r>
      <w:r w:rsidDel="00FC5DB5">
        <w:t xml:space="preserve"> </w:t>
      </w:r>
      <w:r>
        <w:t xml:space="preserve">proposed in this manual.  The tools are based on </w:t>
      </w:r>
      <w:r w:rsidRPr="005D0B3B">
        <w:t>values</w:t>
      </w:r>
      <w:r>
        <w:t xml:space="preserve"> and principles of inclusion, teamwork, and partnerships.  They respect and trust</w:t>
      </w:r>
      <w:r w:rsidRPr="005D0B3B">
        <w:t xml:space="preserve"> communities’ insights, knowledge, interest</w:t>
      </w:r>
      <w:r>
        <w:t>,</w:t>
      </w:r>
      <w:r w:rsidRPr="005D0B3B">
        <w:t xml:space="preserve"> and desire for change. The group discu</w:t>
      </w:r>
      <w:r>
        <w:t>ssions are interactive and participatory.  They follow</w:t>
      </w:r>
      <w:r w:rsidRPr="005D0B3B">
        <w:t xml:space="preserve"> a structured process of observing, reflecting, questioning and making decisions </w:t>
      </w:r>
      <w:r>
        <w:t xml:space="preserve">together </w:t>
      </w:r>
      <w:r w:rsidRPr="005D0B3B">
        <w:t xml:space="preserve">for change. </w:t>
      </w:r>
    </w:p>
    <w:p w:rsidR="00E51EFC" w:rsidRDefault="00E51EFC" w:rsidP="00E51EFC"/>
    <w:p w:rsidR="00E51EFC" w:rsidRPr="00857BF1" w:rsidRDefault="00E51EFC" w:rsidP="00E51EFC">
      <w:pPr>
        <w:suppressAutoHyphens/>
        <w:rPr>
          <w:b/>
          <w:bCs/>
          <w:i/>
          <w:iCs/>
        </w:rPr>
      </w:pPr>
      <w:r w:rsidRPr="00857BF1">
        <w:rPr>
          <w:b/>
          <w:bCs/>
          <w:i/>
          <w:iCs/>
        </w:rPr>
        <w:t>Values and Principles of the Community Change Model:</w:t>
      </w:r>
    </w:p>
    <w:p w:rsidR="00E51EFC" w:rsidRPr="005D0B3B" w:rsidRDefault="00E51EFC" w:rsidP="00E51EFC">
      <w:pPr>
        <w:suppressAutoHyphens/>
        <w:rPr>
          <w:b/>
          <w:bCs/>
        </w:rPr>
      </w:pPr>
    </w:p>
    <w:p w:rsidR="00E51EFC" w:rsidRPr="005D0B3B" w:rsidRDefault="00E51EFC" w:rsidP="00E51EFC">
      <w:pPr>
        <w:numPr>
          <w:ilvl w:val="0"/>
          <w:numId w:val="1"/>
        </w:numPr>
        <w:suppressAutoHyphens/>
      </w:pPr>
      <w:r>
        <w:rPr>
          <w:b/>
          <w:bCs/>
        </w:rPr>
        <w:t>Believing</w:t>
      </w:r>
      <w:r w:rsidRPr="00C04F02">
        <w:rPr>
          <w:b/>
          <w:bCs/>
        </w:rPr>
        <w:t xml:space="preserve"> in the communities’ capacity</w:t>
      </w:r>
      <w:r>
        <w:t xml:space="preserve"> to identify and carry out their own changes</w:t>
      </w:r>
      <w:r w:rsidRPr="005D0B3B">
        <w:t>.</w:t>
      </w:r>
    </w:p>
    <w:p w:rsidR="00E51EFC" w:rsidRPr="005D0B3B" w:rsidRDefault="00E51EFC" w:rsidP="00E51EFC">
      <w:pPr>
        <w:numPr>
          <w:ilvl w:val="0"/>
          <w:numId w:val="1"/>
        </w:numPr>
        <w:suppressAutoHyphens/>
        <w:rPr>
          <w:i/>
          <w:iCs/>
        </w:rPr>
      </w:pPr>
      <w:r>
        <w:rPr>
          <w:b/>
          <w:bCs/>
        </w:rPr>
        <w:t>Being sensitive</w:t>
      </w:r>
      <w:r w:rsidRPr="005D0B3B">
        <w:t xml:space="preserve"> to </w:t>
      </w:r>
      <w:r>
        <w:t>people’s experiences and using local</w:t>
      </w:r>
      <w:r w:rsidRPr="005D0B3B">
        <w:t xml:space="preserve"> resources and competencies in the change process.</w:t>
      </w:r>
    </w:p>
    <w:p w:rsidR="00E51EFC" w:rsidRPr="005D0B3B" w:rsidRDefault="00E51EFC" w:rsidP="00E51EFC">
      <w:pPr>
        <w:numPr>
          <w:ilvl w:val="0"/>
          <w:numId w:val="1"/>
        </w:numPr>
        <w:suppressAutoHyphens/>
      </w:pPr>
      <w:r w:rsidRPr="008241AC">
        <w:rPr>
          <w:b/>
          <w:bCs/>
        </w:rPr>
        <w:t>Respect</w:t>
      </w:r>
      <w:r>
        <w:rPr>
          <w:b/>
          <w:bCs/>
        </w:rPr>
        <w:t>ing</w:t>
      </w:r>
      <w:r>
        <w:t xml:space="preserve"> people’s</w:t>
      </w:r>
      <w:r w:rsidRPr="005D0B3B">
        <w:t xml:space="preserve"> differences,</w:t>
      </w:r>
      <w:r>
        <w:t xml:space="preserve"> as well as showing</w:t>
      </w:r>
      <w:r w:rsidRPr="005D0B3B">
        <w:t xml:space="preserve"> trust and respect</w:t>
      </w:r>
      <w:r>
        <w:t xml:space="preserve"> for each other</w:t>
      </w:r>
      <w:r w:rsidRPr="005D0B3B">
        <w:t>.</w:t>
      </w:r>
      <w:r>
        <w:t xml:space="preserve"> </w:t>
      </w:r>
    </w:p>
    <w:p w:rsidR="00E51EFC" w:rsidRDefault="00E51EFC" w:rsidP="00E51EFC">
      <w:pPr>
        <w:numPr>
          <w:ilvl w:val="0"/>
          <w:numId w:val="1"/>
        </w:numPr>
        <w:suppressAutoHyphens/>
      </w:pPr>
      <w:r w:rsidRPr="008241AC">
        <w:rPr>
          <w:b/>
          <w:bCs/>
        </w:rPr>
        <w:t>Working</w:t>
      </w:r>
      <w:r>
        <w:t xml:space="preserve"> by invitation and with the informed consent of everyone involved.</w:t>
      </w:r>
    </w:p>
    <w:p w:rsidR="00E51EFC" w:rsidRDefault="00E51EFC" w:rsidP="00E51EFC">
      <w:pPr>
        <w:numPr>
          <w:ilvl w:val="0"/>
          <w:numId w:val="1"/>
        </w:numPr>
        <w:suppressAutoHyphens/>
      </w:pPr>
      <w:r>
        <w:rPr>
          <w:b/>
          <w:bCs/>
        </w:rPr>
        <w:lastRenderedPageBreak/>
        <w:t>Using c</w:t>
      </w:r>
      <w:r w:rsidRPr="009876A7">
        <w:rPr>
          <w:b/>
          <w:bCs/>
        </w:rPr>
        <w:t>ommunity conversations as spaces</w:t>
      </w:r>
      <w:r w:rsidRPr="005D0B3B">
        <w:t xml:space="preserve"> for </w:t>
      </w:r>
      <w:r>
        <w:t xml:space="preserve">sharing openly, </w:t>
      </w:r>
      <w:r w:rsidRPr="005D0B3B">
        <w:t>co-learning, building</w:t>
      </w:r>
      <w:r>
        <w:t xml:space="preserve"> </w:t>
      </w:r>
      <w:r w:rsidRPr="005D0B3B">
        <w:t>partnership</w:t>
      </w:r>
      <w:r>
        <w:t>s</w:t>
      </w:r>
      <w:r w:rsidRPr="005D0B3B">
        <w:t xml:space="preserve">, </w:t>
      </w:r>
      <w:r>
        <w:t>and generating knowledge</w:t>
      </w:r>
      <w:r w:rsidRPr="005D0B3B">
        <w:t>.</w:t>
      </w:r>
    </w:p>
    <w:p w:rsidR="00E51EFC" w:rsidRPr="005D0B3B" w:rsidRDefault="00E51EFC" w:rsidP="00E51EFC">
      <w:pPr>
        <w:numPr>
          <w:ilvl w:val="0"/>
          <w:numId w:val="1"/>
        </w:numPr>
        <w:suppressAutoHyphens/>
      </w:pPr>
      <w:r w:rsidRPr="009B6275">
        <w:rPr>
          <w:b/>
          <w:bCs/>
        </w:rPr>
        <w:t>Using facilitation skills</w:t>
      </w:r>
      <w:r>
        <w:t xml:space="preserve"> </w:t>
      </w:r>
      <w:r w:rsidRPr="009B6275">
        <w:rPr>
          <w:b/>
          <w:bCs/>
        </w:rPr>
        <w:t>and participatory approache</w:t>
      </w:r>
      <w:r>
        <w:rPr>
          <w:b/>
          <w:bCs/>
        </w:rPr>
        <w:t>s</w:t>
      </w:r>
      <w:r>
        <w:t xml:space="preserve"> to </w:t>
      </w:r>
      <w:r w:rsidRPr="005D0B3B">
        <w:t>create a space for listening, inclusion, agreement</w:t>
      </w:r>
      <w:r>
        <w:t xml:space="preserve">, </w:t>
      </w:r>
      <w:r w:rsidRPr="005D0B3B">
        <w:t>shared commitment, expression of concerns, etc.</w:t>
      </w:r>
    </w:p>
    <w:p w:rsidR="00E51EFC" w:rsidRPr="005D0B3B" w:rsidRDefault="00E51EFC" w:rsidP="00E51EFC">
      <w:pPr>
        <w:numPr>
          <w:ilvl w:val="0"/>
          <w:numId w:val="1"/>
        </w:numPr>
        <w:suppressAutoHyphens/>
      </w:pPr>
      <w:r w:rsidRPr="009876A7">
        <w:rPr>
          <w:b/>
          <w:bCs/>
        </w:rPr>
        <w:t>Support</w:t>
      </w:r>
      <w:r>
        <w:rPr>
          <w:b/>
          <w:bCs/>
        </w:rPr>
        <w:t>ing</w:t>
      </w:r>
      <w:r w:rsidRPr="009876A7">
        <w:rPr>
          <w:b/>
          <w:bCs/>
        </w:rPr>
        <w:t xml:space="preserve"> team formation</w:t>
      </w:r>
      <w:r w:rsidRPr="005D0B3B">
        <w:t xml:space="preserve"> at </w:t>
      </w:r>
      <w:r>
        <w:t xml:space="preserve">an </w:t>
      </w:r>
      <w:r w:rsidRPr="005D0B3B">
        <w:t xml:space="preserve">organizational and community level. </w:t>
      </w:r>
    </w:p>
    <w:p w:rsidR="00E51EFC" w:rsidRPr="005D0B3B" w:rsidRDefault="00E51EFC" w:rsidP="00E51EFC">
      <w:pPr>
        <w:numPr>
          <w:ilvl w:val="0"/>
          <w:numId w:val="1"/>
        </w:numPr>
        <w:suppressAutoHyphens/>
      </w:pPr>
      <w:r w:rsidRPr="009876A7">
        <w:rPr>
          <w:b/>
          <w:bCs/>
        </w:rPr>
        <w:t>Transformation</w:t>
      </w:r>
      <w:r w:rsidRPr="005D0B3B">
        <w:t xml:space="preserve"> of individual values, attitudes and practices as </w:t>
      </w:r>
      <w:r>
        <w:t>closely</w:t>
      </w:r>
      <w:r w:rsidRPr="005D0B3B">
        <w:t xml:space="preserve"> linked to</w:t>
      </w:r>
      <w:r>
        <w:t xml:space="preserve"> the</w:t>
      </w:r>
      <w:r w:rsidRPr="005D0B3B">
        <w:t xml:space="preserve"> transformation of collective values, attitudes and practices.</w:t>
      </w:r>
    </w:p>
    <w:p w:rsidR="00E51EFC" w:rsidRPr="005D0B3B" w:rsidRDefault="00E51EFC" w:rsidP="00E51EFC">
      <w:pPr>
        <w:numPr>
          <w:ilvl w:val="0"/>
          <w:numId w:val="1"/>
        </w:numPr>
        <w:suppressAutoHyphens/>
        <w:rPr>
          <w:color w:val="000000"/>
        </w:rPr>
      </w:pPr>
      <w:r w:rsidRPr="009876A7">
        <w:rPr>
          <w:b/>
          <w:bCs/>
          <w:color w:val="000000"/>
        </w:rPr>
        <w:t xml:space="preserve">Respect of </w:t>
      </w:r>
      <w:r>
        <w:rPr>
          <w:b/>
          <w:bCs/>
          <w:color w:val="000000"/>
        </w:rPr>
        <w:t xml:space="preserve">the </w:t>
      </w:r>
      <w:r w:rsidRPr="009876A7">
        <w:rPr>
          <w:b/>
          <w:bCs/>
          <w:color w:val="000000"/>
        </w:rPr>
        <w:t>rights and dignity</w:t>
      </w:r>
      <w:r w:rsidRPr="005D0B3B">
        <w:rPr>
          <w:color w:val="000000"/>
        </w:rPr>
        <w:t xml:space="preserve"> of </w:t>
      </w:r>
      <w:r>
        <w:rPr>
          <w:color w:val="000000"/>
        </w:rPr>
        <w:t>those</w:t>
      </w:r>
      <w:r w:rsidRPr="005D0B3B">
        <w:rPr>
          <w:color w:val="000000"/>
        </w:rPr>
        <w:t xml:space="preserve"> </w:t>
      </w:r>
      <w:r>
        <w:rPr>
          <w:color w:val="000000"/>
        </w:rPr>
        <w:t xml:space="preserve">living in vulnerable conditions or in situations of exclusion or stigma. </w:t>
      </w:r>
    </w:p>
    <w:p w:rsidR="00E51EFC" w:rsidRPr="005D0B3B" w:rsidRDefault="00E51EFC" w:rsidP="00E51EFC">
      <w:pPr>
        <w:numPr>
          <w:ilvl w:val="0"/>
          <w:numId w:val="1"/>
        </w:numPr>
        <w:suppressAutoHyphens/>
        <w:rPr>
          <w:color w:val="000000"/>
        </w:rPr>
      </w:pPr>
      <w:r w:rsidRPr="009876A7">
        <w:rPr>
          <w:b/>
          <w:bCs/>
          <w:color w:val="000000"/>
        </w:rPr>
        <w:t>Equal gender</w:t>
      </w:r>
      <w:r w:rsidRPr="005D0B3B">
        <w:rPr>
          <w:color w:val="000000"/>
        </w:rPr>
        <w:t xml:space="preserve"> opportunity and gender sensitivity.</w:t>
      </w:r>
    </w:p>
    <w:p w:rsidR="00E51EFC" w:rsidRPr="005D0B3B" w:rsidRDefault="00E51EFC" w:rsidP="00E51EFC">
      <w:pPr>
        <w:numPr>
          <w:ilvl w:val="0"/>
          <w:numId w:val="1"/>
        </w:numPr>
        <w:suppressAutoHyphens/>
        <w:autoSpaceDE w:val="0"/>
        <w:autoSpaceDN w:val="0"/>
        <w:adjustRightInd w:val="0"/>
      </w:pPr>
      <w:r w:rsidRPr="00FA2E1F">
        <w:rPr>
          <w:b/>
          <w:bCs/>
          <w:color w:val="000000"/>
        </w:rPr>
        <w:t>Respect of human rights principles</w:t>
      </w:r>
      <w:r>
        <w:rPr>
          <w:color w:val="000000"/>
        </w:rPr>
        <w:t xml:space="preserve"> of </w:t>
      </w:r>
      <w:r w:rsidRPr="00FA2E1F">
        <w:rPr>
          <w:color w:val="000000"/>
        </w:rPr>
        <w:t xml:space="preserve">equality, non-violence and non-discrimination.  </w:t>
      </w:r>
    </w:p>
    <w:p w:rsidR="00E51EFC" w:rsidRDefault="00E51EFC" w:rsidP="00E51EFC">
      <w:pPr>
        <w:suppressAutoHyphens/>
        <w:autoSpaceDE w:val="0"/>
        <w:autoSpaceDN w:val="0"/>
        <w:adjustRightInd w:val="0"/>
        <w:rPr>
          <w:rFonts w:cs="ACaslonPro-Regular"/>
          <w:color w:val="000000"/>
        </w:rPr>
      </w:pPr>
    </w:p>
    <w:p w:rsidR="00E51EFC" w:rsidRPr="005D0B3B" w:rsidRDefault="00E51EFC" w:rsidP="00E51EFC">
      <w:pPr>
        <w:suppressAutoHyphens/>
        <w:autoSpaceDE w:val="0"/>
        <w:autoSpaceDN w:val="0"/>
        <w:adjustRightInd w:val="0"/>
        <w:rPr>
          <w:rFonts w:cs="Adobe Caslon Pro"/>
          <w:szCs w:val="20"/>
        </w:rPr>
      </w:pPr>
      <w:r>
        <w:rPr>
          <w:rFonts w:cs="ACaslonPro-Regular"/>
          <w:color w:val="000000"/>
        </w:rPr>
        <w:t xml:space="preserve">In general, the </w:t>
      </w:r>
      <w:r w:rsidRPr="008805D0">
        <w:rPr>
          <w:rFonts w:cs="ACaslonPro-Regular"/>
          <w:b/>
          <w:color w:val="000000"/>
        </w:rPr>
        <w:t>Community Change</w:t>
      </w:r>
      <w:r>
        <w:rPr>
          <w:rFonts w:cs="ACaslonPro-Regular"/>
          <w:color w:val="000000"/>
        </w:rPr>
        <w:t xml:space="preserve"> methodology</w:t>
      </w:r>
      <w:r w:rsidRPr="005D0B3B">
        <w:rPr>
          <w:rFonts w:cs="ACaslonPro-Regular"/>
          <w:color w:val="000000"/>
        </w:rPr>
        <w:t xml:space="preserve"> p</w:t>
      </w:r>
      <w:r>
        <w:rPr>
          <w:rFonts w:cs="ACaslonPro-Regular"/>
          <w:color w:val="000000"/>
        </w:rPr>
        <w:t xml:space="preserve">romotes relationships of trust as well as the </w:t>
      </w:r>
      <w:r w:rsidRPr="005D0B3B">
        <w:rPr>
          <w:rFonts w:cs="ACaslonPro-Regular"/>
          <w:color w:val="000000"/>
        </w:rPr>
        <w:t>dign</w:t>
      </w:r>
      <w:r>
        <w:rPr>
          <w:rFonts w:cs="ACaslonPro-Regular"/>
          <w:color w:val="000000"/>
        </w:rPr>
        <w:t xml:space="preserve">ity of individuals and families.  Facilitators and participants are expected to show compassion, acceptance and accountability towards each other, while avoiding stigmatization, coercion, and violence. </w:t>
      </w:r>
    </w:p>
    <w:p w:rsidR="00E51EFC" w:rsidRPr="005D0B3B" w:rsidRDefault="00E51EFC" w:rsidP="00E51EFC">
      <w:pPr>
        <w:suppressAutoHyphens/>
      </w:pPr>
    </w:p>
    <w:p w:rsidR="00E51EFC" w:rsidRPr="005D0B3B" w:rsidRDefault="00E51EFC" w:rsidP="00E51EFC">
      <w:pPr>
        <w:suppressAutoHyphens/>
      </w:pPr>
    </w:p>
    <w:p w:rsidR="00E51EFC" w:rsidRPr="009009EF" w:rsidRDefault="00E51EFC" w:rsidP="00E51EFC">
      <w:pPr>
        <w:suppressAutoHyphens/>
        <w:rPr>
          <w:rFonts w:ascii="Geneva" w:hAnsi="Geneva"/>
          <w:b/>
          <w:color w:val="984806"/>
          <w:sz w:val="24"/>
        </w:rPr>
      </w:pPr>
      <w:r>
        <w:rPr>
          <w:rFonts w:ascii="Geneva" w:hAnsi="Geneva"/>
          <w:b/>
          <w:color w:val="984806"/>
          <w:sz w:val="24"/>
        </w:rPr>
        <w:t>C.  The Six S</w:t>
      </w:r>
      <w:r w:rsidRPr="009009EF">
        <w:rPr>
          <w:rFonts w:ascii="Geneva" w:hAnsi="Geneva"/>
          <w:b/>
          <w:color w:val="984806"/>
          <w:sz w:val="24"/>
        </w:rPr>
        <w:t xml:space="preserve">tages of the </w:t>
      </w:r>
      <w:r>
        <w:rPr>
          <w:rFonts w:ascii="Geneva" w:hAnsi="Geneva"/>
          <w:b/>
          <w:color w:val="984806"/>
          <w:sz w:val="24"/>
        </w:rPr>
        <w:t>Community Change Process</w:t>
      </w:r>
    </w:p>
    <w:p w:rsidR="00E51EFC" w:rsidRDefault="00E51EFC" w:rsidP="00E51EFC">
      <w:pPr>
        <w:suppressAutoHyphens/>
        <w:rPr>
          <w:rFonts w:cs="Adobe Caslon Pro"/>
          <w:szCs w:val="20"/>
        </w:rPr>
      </w:pPr>
    </w:p>
    <w:p w:rsidR="00E51EFC" w:rsidRPr="00021E7E" w:rsidRDefault="00E51EFC" w:rsidP="00E51EFC">
      <w:pPr>
        <w:suppressAutoHyphens/>
        <w:rPr>
          <w:rFonts w:cs="Adobe Caslon Pro"/>
          <w:szCs w:val="20"/>
        </w:rPr>
      </w:pPr>
      <w:r>
        <w:t xml:space="preserve">The </w:t>
      </w:r>
      <w:r w:rsidRPr="008805D0">
        <w:rPr>
          <w:b/>
        </w:rPr>
        <w:t>Community Change</w:t>
      </w:r>
      <w:r>
        <w:t xml:space="preserve"> process is made up of six stages, as shown in the following circle diagram: </w:t>
      </w:r>
    </w:p>
    <w:p w:rsidR="00E51EFC" w:rsidRDefault="00E51EFC" w:rsidP="00E51EFC">
      <w:pPr>
        <w:suppressAutoHyphens/>
      </w:pPr>
    </w:p>
    <w:p w:rsidR="00E51EFC" w:rsidRDefault="00E51EFC" w:rsidP="00E51EFC">
      <w:pPr>
        <w:rPr>
          <w:rFonts w:cs="Myriad Pro"/>
          <w:b/>
          <w:i/>
          <w:szCs w:val="18"/>
        </w:rPr>
      </w:pPr>
      <w:r>
        <w:rPr>
          <w:rFonts w:cs="Myriad Pro"/>
          <w:b/>
          <w:i/>
          <w:noProof/>
          <w:szCs w:val="18"/>
        </w:rPr>
        <w:drawing>
          <wp:anchor distT="18288" distB="25273" distL="120396" distR="123444" simplePos="0" relativeHeight="251659264" behindDoc="0" locked="0" layoutInCell="1" allowOverlap="1" wp14:anchorId="2D687F02" wp14:editId="1CDD29F3">
            <wp:simplePos x="0" y="0"/>
            <wp:positionH relativeFrom="column">
              <wp:posOffset>1143000</wp:posOffset>
            </wp:positionH>
            <wp:positionV relativeFrom="paragraph">
              <wp:posOffset>22225</wp:posOffset>
            </wp:positionV>
            <wp:extent cx="3692525" cy="32004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EFC" w:rsidRDefault="00E51EFC" w:rsidP="00E51EFC">
      <w:pPr>
        <w:rPr>
          <w:rFonts w:cs="Myriad Pro"/>
          <w:b/>
          <w:i/>
          <w:szCs w:val="18"/>
        </w:rPr>
      </w:pPr>
    </w:p>
    <w:p w:rsidR="00E51EFC" w:rsidRDefault="00E51EFC" w:rsidP="00E51EFC">
      <w:pPr>
        <w:rPr>
          <w:rFonts w:cs="Myriad Pro"/>
          <w:b/>
          <w:i/>
          <w:color w:val="984806"/>
          <w:szCs w:val="18"/>
        </w:rPr>
      </w:pPr>
    </w:p>
    <w:p w:rsidR="00E51EFC" w:rsidRDefault="00E51EFC" w:rsidP="00E51EFC">
      <w:pPr>
        <w:rPr>
          <w:rFonts w:cs="Myriad Pro"/>
          <w:b/>
          <w:i/>
          <w:color w:val="984806"/>
          <w:szCs w:val="18"/>
        </w:rPr>
      </w:pPr>
    </w:p>
    <w:p w:rsidR="00E51EFC" w:rsidRDefault="00E51EFC" w:rsidP="00E51EFC">
      <w:pPr>
        <w:rPr>
          <w:rFonts w:cs="Myriad Pro"/>
          <w:b/>
          <w:i/>
          <w:color w:val="984806"/>
          <w:szCs w:val="18"/>
        </w:rPr>
      </w:pPr>
    </w:p>
    <w:p w:rsidR="00E51EFC" w:rsidRDefault="00E51EFC" w:rsidP="00E51EFC">
      <w:pPr>
        <w:rPr>
          <w:rFonts w:cs="Myriad Pro"/>
          <w:b/>
          <w:i/>
          <w:color w:val="984806"/>
          <w:szCs w:val="18"/>
        </w:rPr>
      </w:pPr>
    </w:p>
    <w:p w:rsidR="00E51EFC" w:rsidRDefault="00E51EFC" w:rsidP="00E51EFC">
      <w:pPr>
        <w:rPr>
          <w:rFonts w:cs="Myriad Pro"/>
          <w:b/>
          <w:i/>
          <w:color w:val="984806"/>
          <w:szCs w:val="18"/>
        </w:rPr>
      </w:pPr>
    </w:p>
    <w:p w:rsidR="00E51EFC" w:rsidRDefault="00E51EFC" w:rsidP="00E51EFC">
      <w:pPr>
        <w:rPr>
          <w:rFonts w:cs="Myriad Pro"/>
          <w:b/>
          <w:i/>
          <w:color w:val="984806"/>
          <w:szCs w:val="18"/>
        </w:rPr>
      </w:pPr>
    </w:p>
    <w:p w:rsidR="00E51EFC" w:rsidRDefault="00E51EFC" w:rsidP="00E51EFC">
      <w:pPr>
        <w:rPr>
          <w:rFonts w:cs="Myriad Pro"/>
          <w:b/>
          <w:i/>
          <w:color w:val="984806"/>
          <w:szCs w:val="18"/>
        </w:rPr>
      </w:pPr>
    </w:p>
    <w:p w:rsidR="00E51EFC" w:rsidRDefault="00E51EFC" w:rsidP="00E51EFC">
      <w:pPr>
        <w:rPr>
          <w:rFonts w:cs="Myriad Pro"/>
          <w:b/>
          <w:i/>
          <w:color w:val="984806"/>
          <w:szCs w:val="18"/>
        </w:rPr>
      </w:pPr>
    </w:p>
    <w:p w:rsidR="00E51EFC" w:rsidRDefault="00E51EFC" w:rsidP="00E51EFC">
      <w:pPr>
        <w:rPr>
          <w:rFonts w:cs="Myriad Pro"/>
          <w:b/>
          <w:i/>
          <w:color w:val="984806"/>
          <w:szCs w:val="18"/>
        </w:rPr>
      </w:pPr>
    </w:p>
    <w:p w:rsidR="00AF25C8" w:rsidRDefault="00A56423"/>
    <w:sectPr w:rsidR="00AF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Caslon Pro">
    <w:charset w:val="00"/>
    <w:family w:val="auto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27E8"/>
    <w:multiLevelType w:val="multilevel"/>
    <w:tmpl w:val="99BC497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FC"/>
    <w:rsid w:val="000C79F2"/>
    <w:rsid w:val="000E0072"/>
    <w:rsid w:val="00423FAB"/>
    <w:rsid w:val="00A56423"/>
    <w:rsid w:val="00E51EFC"/>
    <w:rsid w:val="00F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FC"/>
    <w:pPr>
      <w:spacing w:after="0" w:line="240" w:lineRule="auto"/>
    </w:pPr>
    <w:rPr>
      <w:rFonts w:ascii="Helvetica" w:eastAsia="Times New Roman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1EFC"/>
    <w:pPr>
      <w:autoSpaceDE w:val="0"/>
      <w:autoSpaceDN w:val="0"/>
      <w:adjustRightInd w:val="0"/>
    </w:pPr>
    <w:rPr>
      <w:rFonts w:ascii="Arial Narrow" w:eastAsia="Cambria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51EFC"/>
    <w:rPr>
      <w:rFonts w:ascii="Arial Narrow" w:eastAsia="Cambria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FC"/>
    <w:pPr>
      <w:spacing w:after="0" w:line="240" w:lineRule="auto"/>
    </w:pPr>
    <w:rPr>
      <w:rFonts w:ascii="Helvetica" w:eastAsia="Times New Roman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1EFC"/>
    <w:pPr>
      <w:autoSpaceDE w:val="0"/>
      <w:autoSpaceDN w:val="0"/>
      <w:adjustRightInd w:val="0"/>
    </w:pPr>
    <w:rPr>
      <w:rFonts w:ascii="Arial Narrow" w:eastAsia="Cambria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51EFC"/>
    <w:rPr>
      <w:rFonts w:ascii="Arial Narrow" w:eastAsia="Cambria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vi.org/wvi/images/main/wvi-1_05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F12-8CE7-4AE6-A51E-CEB9720D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US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Fatuma Hashi</dc:creator>
  <cp:lastModifiedBy>Marie Cook</cp:lastModifiedBy>
  <cp:revision>2</cp:revision>
  <dcterms:created xsi:type="dcterms:W3CDTF">2014-03-06T03:40:00Z</dcterms:created>
  <dcterms:modified xsi:type="dcterms:W3CDTF">2014-03-06T03:40:00Z</dcterms:modified>
</cp:coreProperties>
</file>