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4"/>
        <w:gridCol w:w="2844"/>
        <w:gridCol w:w="4464"/>
        <w:gridCol w:w="3654"/>
      </w:tblGrid>
      <w:tr w:rsidR="003A3514" w14:paraId="0C665F40" w14:textId="77777777" w:rsidTr="00D90E50">
        <w:tc>
          <w:tcPr>
            <w:tcW w:w="3654" w:type="dxa"/>
          </w:tcPr>
          <w:p w14:paraId="31DF164F" w14:textId="678D787E" w:rsidR="003A3514" w:rsidRPr="003C3ED5" w:rsidRDefault="00867CFD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bookmarkStart w:id="0" w:name="_GoBack" w:colFirst="3" w:colLast="3"/>
            <w:r>
              <w:rPr>
                <w:rFonts w:ascii="Gill Sans MT" w:hAnsi="Gill Sans MT"/>
                <w:b/>
                <w:sz w:val="18"/>
                <w:szCs w:val="18"/>
              </w:rPr>
              <w:t>PBAS#:</w:t>
            </w:r>
            <w:r w:rsidR="003A3514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2844" w:type="dxa"/>
          </w:tcPr>
          <w:p w14:paraId="5667B295" w14:textId="6CBAE88A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National Office:   </w:t>
            </w:r>
          </w:p>
        </w:tc>
        <w:tc>
          <w:tcPr>
            <w:tcW w:w="4464" w:type="dxa"/>
          </w:tcPr>
          <w:p w14:paraId="633AEED2" w14:textId="3EEB98B1" w:rsidR="003A3514" w:rsidRPr="003C3ED5" w:rsidRDefault="00867CFD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proofErr w:type="spellStart"/>
            <w:r>
              <w:rPr>
                <w:rFonts w:ascii="Gill Sans MT" w:hAnsi="Gill Sans MT"/>
                <w:b/>
                <w:sz w:val="18"/>
                <w:szCs w:val="18"/>
              </w:rPr>
              <w:t>Programme</w:t>
            </w:r>
            <w:proofErr w:type="spellEnd"/>
            <w:r>
              <w:rPr>
                <w:rFonts w:ascii="Gill Sans MT" w:hAnsi="Gill Sans MT"/>
                <w:b/>
                <w:sz w:val="18"/>
                <w:szCs w:val="18"/>
              </w:rPr>
              <w:t xml:space="preserve"> site</w:t>
            </w:r>
            <w:r w:rsidR="003A3514" w:rsidRPr="003C3ED5">
              <w:rPr>
                <w:rFonts w:ascii="Gill Sans MT" w:hAnsi="Gill Sans MT"/>
                <w:b/>
                <w:sz w:val="18"/>
                <w:szCs w:val="18"/>
              </w:rPr>
              <w:t xml:space="preserve"> or ADP:                        </w:t>
            </w:r>
          </w:p>
        </w:tc>
        <w:tc>
          <w:tcPr>
            <w:tcW w:w="3654" w:type="dxa"/>
          </w:tcPr>
          <w:p w14:paraId="66E8CF52" w14:textId="3D9E9363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>District/Region:</w:t>
            </w:r>
          </w:p>
        </w:tc>
      </w:tr>
      <w:tr w:rsidR="003A3514" w14:paraId="4819523E" w14:textId="77777777" w:rsidTr="00D90E50">
        <w:tc>
          <w:tcPr>
            <w:tcW w:w="3654" w:type="dxa"/>
          </w:tcPr>
          <w:p w14:paraId="4E60C149" w14:textId="7FFF8A9D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Name of Person Completing the Tool:                                                                                                  </w:t>
            </w:r>
          </w:p>
        </w:tc>
        <w:tc>
          <w:tcPr>
            <w:tcW w:w="2844" w:type="dxa"/>
          </w:tcPr>
          <w:p w14:paraId="70E3FFB5" w14:textId="520959B7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Title:   </w:t>
            </w:r>
          </w:p>
        </w:tc>
        <w:tc>
          <w:tcPr>
            <w:tcW w:w="4464" w:type="dxa"/>
          </w:tcPr>
          <w:p w14:paraId="5183B9F0" w14:textId="77777777" w:rsidR="00D90E50" w:rsidRDefault="00D90E50" w:rsidP="00D90E50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Type of Assessment:</w:t>
            </w:r>
          </w:p>
          <w:p w14:paraId="75D5BC0F" w14:textId="45AA7EA6" w:rsidR="003A3514" w:rsidRPr="003C3ED5" w:rsidRDefault="00AF595D" w:rsidP="00D90E50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77988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E5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D90E50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r w:rsidR="00D90E50">
              <w:rPr>
                <w:rFonts w:ascii="Gill Sans MT" w:hAnsi="Gill Sans MT"/>
                <w:b/>
                <w:sz w:val="18"/>
                <w:szCs w:val="18"/>
              </w:rPr>
              <w:t xml:space="preserve">Self-Assessment  </w:t>
            </w:r>
            <w:r w:rsidR="00D90E50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2075619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CF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D90E50">
              <w:rPr>
                <w:rFonts w:ascii="Gill Sans MT" w:hAnsi="Gill Sans MT"/>
                <w:b/>
                <w:sz w:val="18"/>
                <w:szCs w:val="18"/>
              </w:rPr>
              <w:t xml:space="preserve"> Third Party   </w:t>
            </w:r>
            <w:r w:rsidR="00D90E50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99455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E5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EF2CE9">
              <w:rPr>
                <w:rFonts w:ascii="Gill Sans MT" w:hAnsi="Gill Sans MT"/>
                <w:b/>
                <w:sz w:val="18"/>
                <w:szCs w:val="18"/>
              </w:rPr>
              <w:t xml:space="preserve"> Mixed</w:t>
            </w:r>
            <w:r w:rsidR="003A3514" w:rsidRPr="003C3ED5">
              <w:rPr>
                <w:rFonts w:ascii="Gill Sans MT" w:hAnsi="Gill Sans MT"/>
                <w:b/>
                <w:sz w:val="18"/>
                <w:szCs w:val="18"/>
              </w:rPr>
              <w:tab/>
            </w:r>
          </w:p>
        </w:tc>
        <w:tc>
          <w:tcPr>
            <w:tcW w:w="3654" w:type="dxa"/>
          </w:tcPr>
          <w:p w14:paraId="239C8EA7" w14:textId="14D90338" w:rsidR="003A3514" w:rsidRPr="003C3ED5" w:rsidRDefault="00302AD6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>Date of Assessment (mm/</w:t>
            </w:r>
            <w:proofErr w:type="spellStart"/>
            <w:r w:rsidRPr="003C3ED5">
              <w:rPr>
                <w:rFonts w:ascii="Gill Sans MT" w:hAnsi="Gill Sans MT"/>
                <w:b/>
                <w:sz w:val="18"/>
                <w:szCs w:val="18"/>
              </w:rPr>
              <w:t>dd</w:t>
            </w:r>
            <w:proofErr w:type="spellEnd"/>
            <w:r w:rsidRPr="003C3ED5">
              <w:rPr>
                <w:rFonts w:ascii="Gill Sans MT" w:hAnsi="Gill Sans MT"/>
                <w:b/>
                <w:sz w:val="18"/>
                <w:szCs w:val="18"/>
              </w:rPr>
              <w:t>/</w:t>
            </w:r>
            <w:proofErr w:type="spellStart"/>
            <w:r w:rsidRPr="003C3ED5">
              <w:rPr>
                <w:rFonts w:ascii="Gill Sans MT" w:hAnsi="Gill Sans MT"/>
                <w:b/>
                <w:sz w:val="18"/>
                <w:szCs w:val="18"/>
              </w:rPr>
              <w:t>yyyy</w:t>
            </w:r>
            <w:proofErr w:type="spellEnd"/>
            <w:r w:rsidRPr="003C3ED5">
              <w:rPr>
                <w:rFonts w:ascii="Gill Sans MT" w:hAnsi="Gill Sans MT"/>
                <w:b/>
                <w:sz w:val="18"/>
                <w:szCs w:val="18"/>
              </w:rPr>
              <w:t>):</w:t>
            </w:r>
          </w:p>
        </w:tc>
      </w:tr>
      <w:tr w:rsidR="003A3514" w14:paraId="7CFBA4A3" w14:textId="77777777" w:rsidTr="00D90E50">
        <w:tc>
          <w:tcPr>
            <w:tcW w:w="6498" w:type="dxa"/>
            <w:gridSpan w:val="2"/>
          </w:tcPr>
          <w:p w14:paraId="28857093" w14:textId="047161BD" w:rsidR="00302AD6" w:rsidRPr="003C3ED5" w:rsidRDefault="00302AD6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Length of </w:t>
            </w:r>
            <w:proofErr w:type="spellStart"/>
            <w:r w:rsidRPr="003C3ED5">
              <w:rPr>
                <w:rFonts w:ascii="Gill Sans MT" w:hAnsi="Gill Sans MT"/>
                <w:b/>
                <w:sz w:val="18"/>
                <w:szCs w:val="18"/>
              </w:rPr>
              <w:t>programme</w:t>
            </w:r>
            <w:proofErr w:type="spellEnd"/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 implementation:</w:t>
            </w:r>
          </w:p>
          <w:p w14:paraId="362E5FDD" w14:textId="48147F73" w:rsidR="003A3514" w:rsidRPr="003C3ED5" w:rsidRDefault="00AF595D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352031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&lt; 6 months</w:t>
            </w:r>
            <w:r w:rsidR="008A011A">
              <w:rPr>
                <w:rFonts w:ascii="Gill Sans MT" w:hAnsi="Gill Sans MT"/>
                <w:b/>
                <w:sz w:val="18"/>
                <w:szCs w:val="18"/>
              </w:rPr>
              <w:t xml:space="preserve">    </w:t>
            </w:r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8899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 6 - 12 months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883373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222F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&gt; 12 - 24 months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31657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&gt; 24 months  </w:t>
            </w:r>
          </w:p>
        </w:tc>
        <w:tc>
          <w:tcPr>
            <w:tcW w:w="8118" w:type="dxa"/>
            <w:gridSpan w:val="2"/>
          </w:tcPr>
          <w:p w14:paraId="75031D2E" w14:textId="77777777" w:rsidR="00302AD6" w:rsidRPr="003C3ED5" w:rsidRDefault="003A3514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Level of Assessment (e.g. what level is this assessment being conducted): </w:t>
            </w:r>
          </w:p>
          <w:p w14:paraId="74F52E3C" w14:textId="331A3875" w:rsidR="003A3514" w:rsidRPr="003C3ED5" w:rsidRDefault="00AF595D" w:rsidP="00867CFD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27629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proofErr w:type="spellStart"/>
            <w:r w:rsidR="00867CFD">
              <w:rPr>
                <w:rFonts w:ascii="Gill Sans MT" w:hAnsi="Gill Sans MT"/>
                <w:b/>
                <w:sz w:val="18"/>
                <w:szCs w:val="18"/>
              </w:rPr>
              <w:t>Programme</w:t>
            </w:r>
            <w:proofErr w:type="spellEnd"/>
            <w:r w:rsidR="00867CFD">
              <w:rPr>
                <w:rFonts w:ascii="Gill Sans MT" w:hAnsi="Gill Sans MT"/>
                <w:b/>
                <w:sz w:val="18"/>
                <w:szCs w:val="18"/>
              </w:rPr>
              <w:t xml:space="preserve"> site</w:t>
            </w:r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67029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CF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ADP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3949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District/Regional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55735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National                </w:t>
            </w:r>
          </w:p>
        </w:tc>
      </w:tr>
      <w:bookmarkEnd w:id="0"/>
    </w:tbl>
    <w:p w14:paraId="7FB18EED" w14:textId="77777777" w:rsidR="00287B40" w:rsidRDefault="00287B40" w:rsidP="004F18F8">
      <w:pPr>
        <w:rPr>
          <w:sz w:val="18"/>
          <w:szCs w:val="18"/>
          <w:u w:val="single"/>
          <w:lang w:val="en-GB"/>
        </w:rPr>
      </w:pPr>
    </w:p>
    <w:p w14:paraId="2A34555C" w14:textId="2D6698FC" w:rsidR="004F18F8" w:rsidRPr="00287B40" w:rsidRDefault="00867CFD" w:rsidP="004F18F8">
      <w:pPr>
        <w:rPr>
          <w:rFonts w:ascii="Gill Sans MT" w:hAnsi="Gill Sans MT"/>
          <w:sz w:val="18"/>
          <w:szCs w:val="18"/>
          <w:u w:val="single"/>
          <w:lang w:val="en-GB"/>
        </w:rPr>
      </w:pPr>
      <w:r>
        <w:rPr>
          <w:rFonts w:ascii="Gill Sans MT" w:hAnsi="Gill Sans MT"/>
          <w:sz w:val="18"/>
          <w:szCs w:val="18"/>
          <w:u w:val="single"/>
          <w:lang w:val="en-GB"/>
        </w:rPr>
        <w:t>Instructions</w:t>
      </w:r>
      <w:r w:rsidR="0071129D" w:rsidRPr="00287B40">
        <w:rPr>
          <w:rFonts w:ascii="Gill Sans MT" w:hAnsi="Gill Sans MT"/>
          <w:sz w:val="18"/>
          <w:szCs w:val="18"/>
          <w:u w:val="single"/>
          <w:lang w:val="en-GB"/>
        </w:rPr>
        <w:t>:</w:t>
      </w:r>
    </w:p>
    <w:p w14:paraId="0E8D71DB" w14:textId="3197684C" w:rsidR="00867CFD" w:rsidRPr="00287B40" w:rsidRDefault="00867CFD" w:rsidP="00867CFD">
      <w:pPr>
        <w:rPr>
          <w:rFonts w:ascii="Gill Sans MT" w:hAnsi="Gill Sans MT"/>
          <w:sz w:val="18"/>
          <w:szCs w:val="18"/>
          <w:lang w:val="en-GB"/>
        </w:rPr>
      </w:pPr>
      <w:r w:rsidRPr="00287B40">
        <w:rPr>
          <w:rFonts w:ascii="Gill Sans MT" w:hAnsi="Gill Sans MT"/>
          <w:sz w:val="18"/>
          <w:szCs w:val="18"/>
          <w:lang w:val="en-GB"/>
        </w:rPr>
        <w:t xml:space="preserve">Beside each essential element, there is a checklist of critical components of the essential element.  As you go through your assessment, check the boxes that apply to the programme.  </w:t>
      </w:r>
      <w:r>
        <w:rPr>
          <w:rFonts w:ascii="Gill Sans MT" w:hAnsi="Gill Sans MT"/>
          <w:sz w:val="18"/>
          <w:szCs w:val="18"/>
          <w:lang w:val="en-GB"/>
        </w:rPr>
        <w:t xml:space="preserve">Use the CMAM IQA calculator for an automatic calculation of the IQA score. </w:t>
      </w:r>
      <w:r w:rsidRPr="00287B40">
        <w:rPr>
          <w:rFonts w:ascii="Gill Sans MT" w:hAnsi="Gill Sans MT"/>
          <w:sz w:val="18"/>
          <w:szCs w:val="18"/>
          <w:lang w:val="en-GB"/>
        </w:rPr>
        <w:t>Th</w:t>
      </w:r>
      <w:r>
        <w:rPr>
          <w:rFonts w:ascii="Gill Sans MT" w:hAnsi="Gill Sans MT"/>
          <w:sz w:val="18"/>
          <w:szCs w:val="18"/>
          <w:lang w:val="en-GB"/>
        </w:rPr>
        <w:t>e overall IQA is the mean of individual</w:t>
      </w:r>
      <w:r w:rsidRPr="00287B40">
        <w:rPr>
          <w:rFonts w:ascii="Gill Sans MT" w:hAnsi="Gill Sans MT"/>
          <w:sz w:val="18"/>
          <w:szCs w:val="18"/>
          <w:lang w:val="en-GB"/>
        </w:rPr>
        <w:t xml:space="preserve"> IQA scores from all the essential elements.</w:t>
      </w:r>
      <w:r>
        <w:rPr>
          <w:rFonts w:ascii="Gill Sans MT" w:hAnsi="Gill Sans MT"/>
          <w:sz w:val="18"/>
          <w:szCs w:val="18"/>
          <w:lang w:val="en-GB"/>
        </w:rPr>
        <w:t xml:space="preserve">  </w:t>
      </w:r>
      <w:r w:rsidRPr="00FB7672">
        <w:rPr>
          <w:rFonts w:ascii="Gill Sans MT" w:hAnsi="Gill Sans MT"/>
          <w:sz w:val="18"/>
          <w:szCs w:val="18"/>
          <w:lang w:val="en-GB"/>
        </w:rPr>
        <w:t>An overall IQA score of 1.5-2 indicates high fidelity; 1.0-1.4 indicates moderate fidelity; less than 1.0 indicates low fidelity.</w:t>
      </w:r>
      <w:r w:rsidR="00561A40">
        <w:rPr>
          <w:rFonts w:ascii="Gill Sans MT" w:hAnsi="Gill Sans MT"/>
          <w:sz w:val="18"/>
          <w:szCs w:val="18"/>
          <w:lang w:val="en-GB"/>
        </w:rPr>
        <w:t xml:space="preserve">  The components that are optional, exceeding expectations will not be included in the IQA scoring.</w:t>
      </w:r>
    </w:p>
    <w:p w14:paraId="57525376" w14:textId="77777777" w:rsidR="00287B40" w:rsidRPr="00287B40" w:rsidRDefault="00287B40" w:rsidP="004F18F8">
      <w:pPr>
        <w:rPr>
          <w:sz w:val="18"/>
          <w:szCs w:val="18"/>
          <w:lang w:val="en-GB"/>
        </w:rPr>
      </w:pPr>
    </w:p>
    <w:tbl>
      <w:tblPr>
        <w:tblW w:w="4994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91"/>
        <w:gridCol w:w="11071"/>
        <w:gridCol w:w="736"/>
      </w:tblGrid>
      <w:tr w:rsidR="009406EF" w:rsidRPr="00287B40" w14:paraId="7214A957" w14:textId="58984CD7" w:rsidTr="00F5027C">
        <w:tc>
          <w:tcPr>
            <w:tcW w:w="956" w:type="pct"/>
            <w:shd w:val="clear" w:color="auto" w:fill="0070C0"/>
          </w:tcPr>
          <w:p w14:paraId="34BB707B" w14:textId="77777777" w:rsidR="009406EF" w:rsidRPr="00287B40" w:rsidRDefault="009406EF" w:rsidP="00095E02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>Essential Element</w:t>
            </w:r>
          </w:p>
        </w:tc>
        <w:tc>
          <w:tcPr>
            <w:tcW w:w="3792" w:type="pct"/>
            <w:shd w:val="clear" w:color="auto" w:fill="0070C0"/>
          </w:tcPr>
          <w:p w14:paraId="15D6F228" w14:textId="39A25A08" w:rsidR="008A011A" w:rsidRPr="00287B40" w:rsidRDefault="007D2DD8" w:rsidP="00095E02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>Check the box</w:t>
            </w:r>
            <w:r w:rsidR="008A011A"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 xml:space="preserve">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</w:rPr>
                <w:id w:val="-539811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 w:rsidRPr="00287B40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☒</w:t>
                </w:r>
              </w:sdtContent>
            </w:sdt>
            <w:r w:rsidR="008A011A" w:rsidRPr="00287B40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r w:rsidR="008A011A"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>for those that are present in the model.</w:t>
            </w:r>
          </w:p>
        </w:tc>
        <w:tc>
          <w:tcPr>
            <w:tcW w:w="252" w:type="pct"/>
            <w:shd w:val="clear" w:color="auto" w:fill="0070C0"/>
          </w:tcPr>
          <w:p w14:paraId="65C8AB18" w14:textId="22E117EB" w:rsidR="009406EF" w:rsidRPr="00287B40" w:rsidRDefault="009406EF" w:rsidP="0085680E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>IQA</w:t>
            </w:r>
          </w:p>
        </w:tc>
      </w:tr>
      <w:tr w:rsidR="009406EF" w:rsidRPr="001268DA" w14:paraId="00A5D892" w14:textId="59C7A347" w:rsidTr="00B44E81">
        <w:trPr>
          <w:trHeight w:val="800"/>
        </w:trPr>
        <w:tc>
          <w:tcPr>
            <w:tcW w:w="956" w:type="pct"/>
            <w:shd w:val="clear" w:color="auto" w:fill="DBE5F1" w:themeFill="accent1" w:themeFillTint="33"/>
          </w:tcPr>
          <w:p w14:paraId="67501290" w14:textId="12B94DED" w:rsidR="009406EF" w:rsidRPr="00B44E81" w:rsidRDefault="005847C4" w:rsidP="005F6E0C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1</w:t>
            </w:r>
            <w:r w:rsidR="009406EF" w:rsidRPr="001268DA">
              <w:rPr>
                <w:sz w:val="19"/>
                <w:szCs w:val="19"/>
                <w:lang w:val="en-GB"/>
              </w:rPr>
              <w:t xml:space="preserve">. </w:t>
            </w:r>
            <w:r w:rsidR="005F6E0C">
              <w:rPr>
                <w:b/>
                <w:sz w:val="19"/>
                <w:szCs w:val="19"/>
                <w:lang w:val="en-GB"/>
              </w:rPr>
              <w:t>Caregivers bring daily contribution of food or materials to Hearth.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470105C3" w14:textId="76E86B7A" w:rsidR="005F6E0C" w:rsidRPr="005F6E0C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195497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5F6E0C">
              <w:rPr>
                <w:sz w:val="19"/>
                <w:szCs w:val="19"/>
                <w:lang w:val="en-GB"/>
              </w:rPr>
              <w:t xml:space="preserve"> </w:t>
            </w:r>
            <w:r w:rsidR="005F6E0C" w:rsidRPr="005F6E0C">
              <w:rPr>
                <w:sz w:val="17"/>
                <w:szCs w:val="17"/>
                <w:lang w:val="en-GB"/>
              </w:rPr>
              <w:t>Hearth menus are shared with caregivers before the start of Hearth to discuss with caregivers on who will bring what ingredients on 1</w:t>
            </w:r>
            <w:r w:rsidR="005F6E0C" w:rsidRPr="005F6E0C">
              <w:rPr>
                <w:sz w:val="17"/>
                <w:szCs w:val="17"/>
                <w:vertAlign w:val="superscript"/>
                <w:lang w:val="en-GB"/>
              </w:rPr>
              <w:t>st</w:t>
            </w:r>
            <w:r w:rsidR="005F6E0C" w:rsidRPr="005F6E0C">
              <w:rPr>
                <w:sz w:val="17"/>
                <w:szCs w:val="17"/>
                <w:lang w:val="en-GB"/>
              </w:rPr>
              <w:t xml:space="preserve"> day of Hearth.</w:t>
            </w:r>
          </w:p>
          <w:p w14:paraId="0D46E721" w14:textId="2D967C89" w:rsidR="005F6E0C" w:rsidRPr="005F6E0C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2105760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5F6E0C">
              <w:rPr>
                <w:sz w:val="17"/>
                <w:szCs w:val="17"/>
                <w:lang w:val="en-GB"/>
              </w:rPr>
              <w:t xml:space="preserve"> Volunteers meet with PDH participant caregivers prior to the 1</w:t>
            </w:r>
            <w:r w:rsidR="005F6E0C" w:rsidRPr="005F6E0C">
              <w:rPr>
                <w:sz w:val="17"/>
                <w:szCs w:val="17"/>
                <w:vertAlign w:val="superscript"/>
                <w:lang w:val="en-GB"/>
              </w:rPr>
              <w:t>st</w:t>
            </w:r>
            <w:r w:rsidR="005F6E0C" w:rsidRPr="005F6E0C">
              <w:rPr>
                <w:sz w:val="17"/>
                <w:szCs w:val="17"/>
                <w:lang w:val="en-GB"/>
              </w:rPr>
              <w:t xml:space="preserve"> day of Hearth so they are aware of what ingredients they must bring, to agree on a time and location for 1</w:t>
            </w:r>
            <w:r w:rsidR="005F6E0C" w:rsidRPr="005F6E0C">
              <w:rPr>
                <w:sz w:val="17"/>
                <w:szCs w:val="17"/>
                <w:vertAlign w:val="superscript"/>
                <w:lang w:val="en-GB"/>
              </w:rPr>
              <w:t>st</w:t>
            </w:r>
            <w:r w:rsidR="005F6E0C" w:rsidRPr="005F6E0C">
              <w:rPr>
                <w:sz w:val="17"/>
                <w:szCs w:val="17"/>
                <w:lang w:val="en-GB"/>
              </w:rPr>
              <w:t xml:space="preserve"> day of Hearth.</w:t>
            </w:r>
          </w:p>
          <w:p w14:paraId="42F9182F" w14:textId="3D2FC8E2" w:rsidR="009406EF" w:rsidRDefault="00AF595D" w:rsidP="009406EF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-199948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5F6E0C">
              <w:rPr>
                <w:sz w:val="17"/>
                <w:szCs w:val="17"/>
                <w:lang w:val="en-GB"/>
              </w:rPr>
              <w:t xml:space="preserve"> Caregivers contribute to foods and/or materials for the Hearth sessions.</w:t>
            </w:r>
          </w:p>
          <w:p w14:paraId="3E944009" w14:textId="77777777" w:rsidR="005847C4" w:rsidRDefault="005847C4" w:rsidP="009406EF">
            <w:pPr>
              <w:rPr>
                <w:b/>
                <w:sz w:val="19"/>
                <w:szCs w:val="19"/>
                <w:lang w:val="en-GB"/>
              </w:rPr>
            </w:pPr>
          </w:p>
          <w:p w14:paraId="3818B02F" w14:textId="6FD0F6AD" w:rsidR="005847C4" w:rsidRPr="005847C4" w:rsidRDefault="005847C4" w:rsidP="009406EF">
            <w:pPr>
              <w:rPr>
                <w:b/>
                <w:sz w:val="19"/>
                <w:szCs w:val="19"/>
                <w:lang w:val="en-GB"/>
              </w:rPr>
            </w:pPr>
            <w:r w:rsidRPr="005847C4">
              <w:rPr>
                <w:b/>
                <w:sz w:val="19"/>
                <w:szCs w:val="19"/>
                <w:lang w:val="en-GB"/>
              </w:rPr>
              <w:t>Optional, exceed</w:t>
            </w:r>
            <w:r>
              <w:rPr>
                <w:b/>
                <w:sz w:val="19"/>
                <w:szCs w:val="19"/>
                <w:lang w:val="en-GB"/>
              </w:rPr>
              <w:t>ing</w:t>
            </w:r>
            <w:r w:rsidRPr="005847C4">
              <w:rPr>
                <w:b/>
                <w:sz w:val="19"/>
                <w:szCs w:val="19"/>
                <w:lang w:val="en-GB"/>
              </w:rPr>
              <w:t xml:space="preserve"> expectations: </w:t>
            </w:r>
          </w:p>
          <w:p w14:paraId="51DF5AA9" w14:textId="0F864B14" w:rsidR="005F6E0C" w:rsidRPr="005F6E0C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-124347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>
              <w:rPr>
                <w:rFonts w:ascii="MS Gothic" w:eastAsia="MS Gothic" w:hAnsi="MS Gothic"/>
                <w:b/>
                <w:sz w:val="16"/>
                <w:szCs w:val="16"/>
              </w:rPr>
              <w:t xml:space="preserve"> </w:t>
            </w:r>
            <w:r w:rsidR="005F6E0C">
              <w:rPr>
                <w:sz w:val="17"/>
                <w:szCs w:val="17"/>
                <w:lang w:val="en-GB"/>
              </w:rPr>
              <w:t>Community also contributes materia</w:t>
            </w:r>
            <w:r w:rsidR="005847C4">
              <w:rPr>
                <w:sz w:val="17"/>
                <w:szCs w:val="17"/>
                <w:lang w:val="en-GB"/>
              </w:rPr>
              <w:t xml:space="preserve">ls for Hearth session 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5ACFC62A" w14:textId="2E317267" w:rsidR="009406EF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9406EF" w:rsidRPr="001268DA" w14:paraId="0AF0D2EF" w14:textId="6FF21E42" w:rsidTr="00B44E81">
        <w:trPr>
          <w:trHeight w:val="710"/>
        </w:trPr>
        <w:tc>
          <w:tcPr>
            <w:tcW w:w="956" w:type="pct"/>
            <w:shd w:val="clear" w:color="auto" w:fill="DBE5F1" w:themeFill="accent1" w:themeFillTint="33"/>
          </w:tcPr>
          <w:p w14:paraId="3FCB24D2" w14:textId="19D395CF" w:rsidR="009406EF" w:rsidRPr="00B44E81" w:rsidRDefault="005847C4" w:rsidP="005F6E0C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2</w:t>
            </w:r>
            <w:r w:rsidR="009406EF" w:rsidRPr="001268DA">
              <w:rPr>
                <w:sz w:val="19"/>
                <w:szCs w:val="19"/>
                <w:lang w:val="en-GB"/>
              </w:rPr>
              <w:t xml:space="preserve">. </w:t>
            </w:r>
            <w:r w:rsidR="005F6E0C">
              <w:rPr>
                <w:b/>
                <w:sz w:val="19"/>
                <w:szCs w:val="19"/>
                <w:lang w:val="en-GB"/>
              </w:rPr>
              <w:t>Caregivers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 xml:space="preserve"> pres</w:t>
            </w:r>
            <w:r w:rsidR="005F6E0C">
              <w:rPr>
                <w:b/>
                <w:sz w:val="19"/>
                <w:szCs w:val="19"/>
                <w:lang w:val="en-GB"/>
              </w:rPr>
              <w:t xml:space="preserve">ent and actively involved every 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>day of the Hearth session.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38CEC07D" w14:textId="2F935F14" w:rsidR="005F6E0C" w:rsidRPr="005F6E0C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155796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5F6E0C">
              <w:rPr>
                <w:sz w:val="17"/>
                <w:szCs w:val="17"/>
                <w:lang w:val="en-GB"/>
              </w:rPr>
              <w:t xml:space="preserve"> </w:t>
            </w:r>
            <w:r w:rsidR="005F6E0C">
              <w:rPr>
                <w:sz w:val="17"/>
                <w:szCs w:val="17"/>
                <w:lang w:val="en-GB"/>
              </w:rPr>
              <w:t>All primary c</w:t>
            </w:r>
            <w:r w:rsidR="005F6E0C" w:rsidRPr="005F6E0C">
              <w:rPr>
                <w:sz w:val="17"/>
                <w:szCs w:val="17"/>
                <w:lang w:val="en-GB"/>
              </w:rPr>
              <w:t xml:space="preserve">aregivers come with their </w:t>
            </w:r>
            <w:proofErr w:type="gramStart"/>
            <w:r w:rsidR="005F6E0C" w:rsidRPr="005F6E0C">
              <w:rPr>
                <w:sz w:val="17"/>
                <w:szCs w:val="17"/>
                <w:lang w:val="en-GB"/>
              </w:rPr>
              <w:t>child(</w:t>
            </w:r>
            <w:proofErr w:type="spellStart"/>
            <w:proofErr w:type="gramEnd"/>
            <w:r w:rsidR="005F6E0C" w:rsidRPr="005F6E0C">
              <w:rPr>
                <w:sz w:val="17"/>
                <w:szCs w:val="17"/>
                <w:lang w:val="en-GB"/>
              </w:rPr>
              <w:t>ren</w:t>
            </w:r>
            <w:proofErr w:type="spellEnd"/>
            <w:r w:rsidR="005F6E0C" w:rsidRPr="005F6E0C">
              <w:rPr>
                <w:sz w:val="17"/>
                <w:szCs w:val="17"/>
                <w:lang w:val="en-GB"/>
              </w:rPr>
              <w:t>) to hearth sessions.</w:t>
            </w:r>
          </w:p>
          <w:p w14:paraId="6EBB48E2" w14:textId="62DB1080" w:rsidR="005F6E0C" w:rsidRPr="005F6E0C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1440883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5F6E0C">
              <w:rPr>
                <w:sz w:val="17"/>
                <w:szCs w:val="17"/>
                <w:lang w:val="en-GB"/>
              </w:rPr>
              <w:t xml:space="preserve"> Caregivers participate in all aspects of the hearth sessions in the 10-12 days of hearth (especially the cooking of the meals).</w:t>
            </w:r>
          </w:p>
          <w:p w14:paraId="21E7FF43" w14:textId="53099464" w:rsidR="005F6E0C" w:rsidRPr="005F6E0C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27232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5F6E0C">
              <w:rPr>
                <w:sz w:val="17"/>
                <w:szCs w:val="17"/>
                <w:lang w:val="en-GB"/>
              </w:rPr>
              <w:t xml:space="preserve"> Caregivers follow the designed Hearth menus when cooking during Hearth sessions.</w:t>
            </w:r>
          </w:p>
          <w:p w14:paraId="5C387C3D" w14:textId="4CB61B7A" w:rsidR="005F6E0C" w:rsidRPr="005F6E0C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1066074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5F6E0C">
              <w:rPr>
                <w:sz w:val="17"/>
                <w:szCs w:val="17"/>
                <w:lang w:val="en-GB"/>
              </w:rPr>
              <w:t xml:space="preserve"> Volunteers help caregivers cook the Hearth meal on Day 1 and 2, but caregivers cook the meal without the help of volunteers on Day 3-12</w:t>
            </w:r>
          </w:p>
          <w:p w14:paraId="614826A3" w14:textId="77777777" w:rsidR="009406EF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43108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5F6E0C">
              <w:rPr>
                <w:sz w:val="17"/>
                <w:szCs w:val="17"/>
                <w:lang w:val="en-GB"/>
              </w:rPr>
              <w:t xml:space="preserve"> All the caregivers and children attend every session.  One or two absence maximum is allowed, or as decided by the community members and staff.</w:t>
            </w:r>
          </w:p>
          <w:p w14:paraId="43B34840" w14:textId="4C326CF5" w:rsidR="005F6E0C" w:rsidRDefault="00AF595D" w:rsidP="005F6E0C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30546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 w:rsidRPr="00B8795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B8795C">
              <w:rPr>
                <w:sz w:val="19"/>
                <w:szCs w:val="19"/>
                <w:lang w:val="en-GB"/>
              </w:rPr>
              <w:t xml:space="preserve"> Volunteers spend</w:t>
            </w:r>
            <w:r w:rsidR="005F6E0C" w:rsidRPr="00F5027C">
              <w:rPr>
                <w:sz w:val="19"/>
                <w:szCs w:val="19"/>
                <w:lang w:val="en-GB"/>
              </w:rPr>
              <w:t xml:space="preserve"> time to reflect with caregivers about the changes in the child during the course of the hearth sessions, especially on the last day of hearth.</w:t>
            </w:r>
          </w:p>
          <w:p w14:paraId="52F75D79" w14:textId="77777777" w:rsidR="005847C4" w:rsidRDefault="005847C4" w:rsidP="005F6E0C">
            <w:pPr>
              <w:rPr>
                <w:sz w:val="19"/>
                <w:szCs w:val="19"/>
                <w:lang w:val="en-GB"/>
              </w:rPr>
            </w:pPr>
          </w:p>
          <w:p w14:paraId="76C9BD60" w14:textId="3B83B9F2" w:rsidR="005847C4" w:rsidRPr="005847C4" w:rsidRDefault="005847C4" w:rsidP="005F6E0C">
            <w:pPr>
              <w:rPr>
                <w:b/>
                <w:sz w:val="19"/>
                <w:szCs w:val="19"/>
                <w:lang w:val="en-GB"/>
              </w:rPr>
            </w:pPr>
            <w:r w:rsidRPr="005847C4">
              <w:rPr>
                <w:b/>
                <w:sz w:val="19"/>
                <w:szCs w:val="19"/>
                <w:lang w:val="en-GB"/>
              </w:rPr>
              <w:t>Optional, exceed</w:t>
            </w:r>
            <w:r>
              <w:rPr>
                <w:b/>
                <w:sz w:val="19"/>
                <w:szCs w:val="19"/>
                <w:lang w:val="en-GB"/>
              </w:rPr>
              <w:t>ing</w:t>
            </w:r>
            <w:r w:rsidRPr="005847C4">
              <w:rPr>
                <w:b/>
                <w:sz w:val="19"/>
                <w:szCs w:val="19"/>
                <w:lang w:val="en-GB"/>
              </w:rPr>
              <w:t xml:space="preserve"> expectations: </w:t>
            </w:r>
          </w:p>
          <w:p w14:paraId="780C4CF2" w14:textId="6B5F0A3D" w:rsidR="005F6E0C" w:rsidRPr="005F6E0C" w:rsidRDefault="00AF595D" w:rsidP="005F6E0C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200547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5F6E0C">
              <w:rPr>
                <w:sz w:val="17"/>
                <w:szCs w:val="17"/>
              </w:rPr>
              <w:t xml:space="preserve"> Grandmothers and Fathers of participant children also attend Hearth sessions on Day 1 and 12</w:t>
            </w:r>
            <w:r w:rsidR="005847C4">
              <w:rPr>
                <w:sz w:val="17"/>
                <w:szCs w:val="17"/>
              </w:rPr>
              <w:t xml:space="preserve"> 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367FC47C" w14:textId="39FEB0DC" w:rsidR="009406EF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9406EF" w:rsidRPr="001268DA" w14:paraId="61DAC552" w14:textId="5EA1A249" w:rsidTr="00F5027C">
        <w:trPr>
          <w:trHeight w:val="1070"/>
        </w:trPr>
        <w:tc>
          <w:tcPr>
            <w:tcW w:w="956" w:type="pct"/>
            <w:shd w:val="clear" w:color="auto" w:fill="DBE5F1" w:themeFill="accent1" w:themeFillTint="33"/>
          </w:tcPr>
          <w:p w14:paraId="53D8C768" w14:textId="11E6D228" w:rsidR="009406EF" w:rsidRPr="001268DA" w:rsidRDefault="005847C4" w:rsidP="00095E02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3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>. Hearth session</w:t>
            </w:r>
            <w:r w:rsidR="005F6E0C">
              <w:rPr>
                <w:b/>
                <w:sz w:val="19"/>
                <w:szCs w:val="19"/>
                <w:lang w:val="en-GB"/>
              </w:rPr>
              <w:t>s run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 xml:space="preserve"> for 10–12 days within a two-week period.</w:t>
            </w:r>
          </w:p>
          <w:p w14:paraId="15A8509E" w14:textId="39B7B0D9" w:rsidR="009406EF" w:rsidRPr="001268DA" w:rsidRDefault="009406EF" w:rsidP="00095E02">
            <w:pPr>
              <w:pStyle w:val="ListParagraph"/>
              <w:spacing w:after="0" w:line="240" w:lineRule="auto"/>
              <w:ind w:left="86"/>
              <w:rPr>
                <w:sz w:val="19"/>
                <w:szCs w:val="19"/>
                <w:lang w:val="en-GB"/>
              </w:rPr>
            </w:pPr>
            <w:r w:rsidRPr="001268DA">
              <w:rPr>
                <w:sz w:val="19"/>
                <w:szCs w:val="19"/>
                <w:lang w:val="en-GB"/>
              </w:rPr>
              <w:t xml:space="preserve"> 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752972E5" w14:textId="58F6BD3A" w:rsidR="009406EF" w:rsidRPr="00B8795C" w:rsidRDefault="00AF595D" w:rsidP="00F5027C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98034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A4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F5027C">
              <w:rPr>
                <w:sz w:val="19"/>
                <w:szCs w:val="19"/>
                <w:lang w:val="en-GB"/>
              </w:rPr>
              <w:t xml:space="preserve"> </w:t>
            </w:r>
            <w:r w:rsidR="009406EF" w:rsidRPr="00B8795C">
              <w:rPr>
                <w:sz w:val="19"/>
                <w:szCs w:val="19"/>
                <w:lang w:val="en-GB"/>
              </w:rPr>
              <w:t>There were 10-12 days of Hearth within a two-week period.</w:t>
            </w:r>
          </w:p>
          <w:p w14:paraId="52BF9558" w14:textId="2DF29E97" w:rsidR="009406EF" w:rsidRDefault="00AF595D" w:rsidP="00F5027C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44727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A4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B8795C">
              <w:rPr>
                <w:sz w:val="19"/>
                <w:szCs w:val="19"/>
                <w:lang w:val="en-GB"/>
              </w:rPr>
              <w:t xml:space="preserve"> </w:t>
            </w:r>
            <w:r w:rsidR="005F6E0C">
              <w:rPr>
                <w:sz w:val="19"/>
                <w:szCs w:val="19"/>
                <w:lang w:val="en-GB"/>
              </w:rPr>
              <w:t>Hearth sessions do not run for more than 3 hours long</w:t>
            </w:r>
          </w:p>
          <w:p w14:paraId="22EF89BA" w14:textId="77777777" w:rsidR="005847C4" w:rsidRDefault="005847C4" w:rsidP="00F5027C">
            <w:pPr>
              <w:rPr>
                <w:sz w:val="19"/>
                <w:szCs w:val="19"/>
                <w:lang w:val="en-GB"/>
              </w:rPr>
            </w:pPr>
          </w:p>
          <w:p w14:paraId="43B26881" w14:textId="35344A49" w:rsidR="005847C4" w:rsidRPr="005847C4" w:rsidRDefault="005847C4" w:rsidP="00F5027C">
            <w:pPr>
              <w:rPr>
                <w:b/>
                <w:sz w:val="19"/>
                <w:szCs w:val="19"/>
                <w:lang w:val="en-GB"/>
              </w:rPr>
            </w:pPr>
            <w:r w:rsidRPr="005847C4">
              <w:rPr>
                <w:b/>
                <w:sz w:val="19"/>
                <w:szCs w:val="19"/>
                <w:lang w:val="en-GB"/>
              </w:rPr>
              <w:t>Optional, exceed</w:t>
            </w:r>
            <w:r>
              <w:rPr>
                <w:b/>
                <w:sz w:val="19"/>
                <w:szCs w:val="19"/>
                <w:lang w:val="en-GB"/>
              </w:rPr>
              <w:t>ing</w:t>
            </w:r>
            <w:r w:rsidRPr="005847C4">
              <w:rPr>
                <w:b/>
                <w:sz w:val="19"/>
                <w:szCs w:val="19"/>
                <w:lang w:val="en-GB"/>
              </w:rPr>
              <w:t xml:space="preserve"> expectations: </w:t>
            </w:r>
          </w:p>
          <w:p w14:paraId="2440B7E0" w14:textId="0E183D61" w:rsidR="005F6E0C" w:rsidRPr="005F6E0C" w:rsidRDefault="00AF595D" w:rsidP="005847C4">
            <w:pPr>
              <w:rPr>
                <w:sz w:val="17"/>
                <w:szCs w:val="17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89986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0C" w:rsidRPr="00B8795C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6E0C" w:rsidRPr="00B8795C">
              <w:rPr>
                <w:sz w:val="19"/>
                <w:szCs w:val="19"/>
                <w:lang w:val="en-GB"/>
              </w:rPr>
              <w:t xml:space="preserve"> Volunteers spend</w:t>
            </w:r>
            <w:r w:rsidR="005F6E0C" w:rsidRPr="00F5027C">
              <w:rPr>
                <w:sz w:val="19"/>
                <w:szCs w:val="19"/>
                <w:lang w:val="en-GB"/>
              </w:rPr>
              <w:t xml:space="preserve"> time to reflect with caregivers about the changes in the child during the course of the hearth sessions, especially on the last day of hearth.</w:t>
            </w:r>
            <w:r w:rsidR="005F6E0C">
              <w:rPr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79DBB12B" w14:textId="7AD3C0C9" w:rsidR="009406EF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9406EF" w:rsidRPr="001268DA" w14:paraId="09118DD6" w14:textId="7C28B8FA" w:rsidTr="00F5027C">
        <w:trPr>
          <w:trHeight w:val="1700"/>
        </w:trPr>
        <w:tc>
          <w:tcPr>
            <w:tcW w:w="956" w:type="pct"/>
            <w:shd w:val="clear" w:color="auto" w:fill="DBE5F1" w:themeFill="accent1" w:themeFillTint="33"/>
          </w:tcPr>
          <w:p w14:paraId="7F18D4EB" w14:textId="0B3F574B" w:rsidR="009406EF" w:rsidRPr="00A46E31" w:rsidRDefault="005847C4" w:rsidP="00A46E31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lastRenderedPageBreak/>
              <w:t>4</w:t>
            </w:r>
            <w:r w:rsidR="009406EF" w:rsidRPr="001268DA">
              <w:rPr>
                <w:sz w:val="19"/>
                <w:szCs w:val="19"/>
                <w:lang w:val="en-GB"/>
              </w:rPr>
              <w:t xml:space="preserve">. 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>Includ</w:t>
            </w:r>
            <w:r w:rsidR="005F6E0C">
              <w:rPr>
                <w:b/>
                <w:sz w:val="19"/>
                <w:szCs w:val="19"/>
                <w:lang w:val="en-GB"/>
              </w:rPr>
              <w:t>e follow-up home visits (every 2-3 times a week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>) for two weeks after the session.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76AD483C" w14:textId="4C4E40BC" w:rsidR="009406EF" w:rsidRPr="00F5027C" w:rsidRDefault="00AF595D" w:rsidP="00F5027C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310528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A4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F5027C">
              <w:rPr>
                <w:sz w:val="19"/>
                <w:szCs w:val="19"/>
                <w:lang w:val="en-GB"/>
              </w:rPr>
              <w:t xml:space="preserve"> </w:t>
            </w:r>
            <w:r w:rsidR="009406EF" w:rsidRPr="00F5027C">
              <w:rPr>
                <w:sz w:val="19"/>
                <w:szCs w:val="19"/>
                <w:lang w:val="en-GB"/>
              </w:rPr>
              <w:t>Volunteer</w:t>
            </w:r>
            <w:r w:rsidR="005F6E0C">
              <w:rPr>
                <w:sz w:val="19"/>
                <w:szCs w:val="19"/>
                <w:lang w:val="en-GB"/>
              </w:rPr>
              <w:t>s visited the households ever</w:t>
            </w:r>
            <w:r w:rsidR="00A46E31">
              <w:rPr>
                <w:sz w:val="19"/>
                <w:szCs w:val="19"/>
                <w:lang w:val="en-GB"/>
              </w:rPr>
              <w:t xml:space="preserve"> 2-3 days</w:t>
            </w:r>
            <w:r w:rsidR="009406EF" w:rsidRPr="00F5027C">
              <w:rPr>
                <w:sz w:val="19"/>
                <w:szCs w:val="19"/>
                <w:lang w:val="en-GB"/>
              </w:rPr>
              <w:t xml:space="preserve"> for two weeks after the Hearth sessions.</w:t>
            </w:r>
          </w:p>
          <w:p w14:paraId="70B91237" w14:textId="01C95925" w:rsidR="009406EF" w:rsidRPr="00F5027C" w:rsidRDefault="00AF595D" w:rsidP="00F5027C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761861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A4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F5027C">
              <w:rPr>
                <w:sz w:val="19"/>
                <w:szCs w:val="19"/>
                <w:lang w:val="en-GB"/>
              </w:rPr>
              <w:t xml:space="preserve"> </w:t>
            </w:r>
            <w:r w:rsidR="009406EF" w:rsidRPr="00F5027C">
              <w:rPr>
                <w:sz w:val="19"/>
                <w:szCs w:val="19"/>
                <w:lang w:val="en-GB"/>
              </w:rPr>
              <w:t>Volunteers had a maximum number of households for whom they are responsible for visiting as determined by the volunteers, community members and staff.</w:t>
            </w:r>
          </w:p>
          <w:p w14:paraId="06FCC1E5" w14:textId="3E58A033" w:rsidR="009406EF" w:rsidRPr="00F5027C" w:rsidRDefault="00AF595D" w:rsidP="00F5027C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09771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F5027C">
              <w:rPr>
                <w:sz w:val="19"/>
                <w:szCs w:val="19"/>
                <w:lang w:val="en-GB"/>
              </w:rPr>
              <w:t xml:space="preserve"> </w:t>
            </w:r>
            <w:r w:rsidR="00A46E31">
              <w:rPr>
                <w:sz w:val="19"/>
                <w:szCs w:val="19"/>
                <w:lang w:val="en-GB"/>
              </w:rPr>
              <w:t>Refresher trainings are</w:t>
            </w:r>
            <w:r w:rsidR="009406EF" w:rsidRPr="00F5027C">
              <w:rPr>
                <w:sz w:val="19"/>
                <w:szCs w:val="19"/>
                <w:lang w:val="en-GB"/>
              </w:rPr>
              <w:t xml:space="preserve"> available to remind volunteers on the principles of PD/Hearth and how to counsel families to overcome obstacles in practicing behaviours learnt in Hearth.</w:t>
            </w:r>
          </w:p>
          <w:p w14:paraId="337F1766" w14:textId="21BD0EA9" w:rsidR="00A46E31" w:rsidRDefault="00AF595D" w:rsidP="00A46E31">
            <w:pPr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2097056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E31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A46E31">
              <w:rPr>
                <w:sz w:val="19"/>
                <w:szCs w:val="19"/>
                <w:lang w:val="en-GB"/>
              </w:rPr>
              <w:t xml:space="preserve"> </w:t>
            </w:r>
            <w:r w:rsidR="00A46E31" w:rsidRPr="00A46E31">
              <w:rPr>
                <w:sz w:val="19"/>
                <w:szCs w:val="19"/>
                <w:lang w:val="en-GB"/>
              </w:rPr>
              <w:t>Supervisors a</w:t>
            </w:r>
            <w:r w:rsidR="009406EF" w:rsidRPr="00A46E31">
              <w:rPr>
                <w:sz w:val="19"/>
                <w:szCs w:val="19"/>
                <w:lang w:val="en-GB"/>
              </w:rPr>
              <w:t>re available for volunteers to turn to for help with counselling families or overcoming specific barriers to behaviour change for families.</w:t>
            </w:r>
            <w:r w:rsidR="00A46E31" w:rsidRPr="00A46E31">
              <w:rPr>
                <w:lang w:val="en-GB"/>
              </w:rPr>
              <w:t xml:space="preserve"> </w:t>
            </w:r>
          </w:p>
          <w:p w14:paraId="516CD0D1" w14:textId="1B20EC6D" w:rsidR="005847C4" w:rsidRDefault="00AF595D" w:rsidP="00A46E31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47989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A4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A46E31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 w:rsidRPr="00A46E31">
              <w:rPr>
                <w:sz w:val="19"/>
                <w:szCs w:val="19"/>
                <w:lang w:val="en-GB"/>
              </w:rPr>
              <w:t xml:space="preserve">Volunteers visit PDH participant households </w:t>
            </w:r>
            <w:r w:rsidR="005847C4">
              <w:rPr>
                <w:sz w:val="19"/>
                <w:szCs w:val="19"/>
                <w:lang w:val="en-GB"/>
              </w:rPr>
              <w:t xml:space="preserve">at 30 days, 3 months, 6 months, and up to 1 year if possible </w:t>
            </w:r>
          </w:p>
          <w:p w14:paraId="022CB19F" w14:textId="765CF529" w:rsidR="009406EF" w:rsidRDefault="00AF595D" w:rsidP="00A46E31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993910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A4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A46E31">
              <w:rPr>
                <w:sz w:val="19"/>
                <w:szCs w:val="19"/>
                <w:lang w:val="en-GB"/>
              </w:rPr>
              <w:t>For countries measuring MUAC, volunteers p</w:t>
            </w:r>
            <w:r w:rsidR="00A46E31" w:rsidRPr="00A46E31">
              <w:rPr>
                <w:sz w:val="19"/>
                <w:szCs w:val="19"/>
                <w:lang w:val="en-GB"/>
              </w:rPr>
              <w:t>ay special visit</w:t>
            </w:r>
            <w:r w:rsidR="00A46E31">
              <w:rPr>
                <w:sz w:val="19"/>
                <w:szCs w:val="19"/>
                <w:lang w:val="en-GB"/>
              </w:rPr>
              <w:t>s</w:t>
            </w:r>
            <w:r w:rsidR="00A46E31" w:rsidRPr="00A46E31">
              <w:rPr>
                <w:sz w:val="19"/>
                <w:szCs w:val="19"/>
                <w:lang w:val="en-GB"/>
              </w:rPr>
              <w:t xml:space="preserve"> to household </w:t>
            </w:r>
            <w:r w:rsidR="00A46E31">
              <w:rPr>
                <w:sz w:val="19"/>
                <w:szCs w:val="19"/>
                <w:lang w:val="en-GB"/>
              </w:rPr>
              <w:t xml:space="preserve">with children who have MUAC ‘yellow’ and for children ‘red’/severely underweight </w:t>
            </w:r>
            <w:r w:rsidR="00A46E31" w:rsidRPr="00A46E31">
              <w:rPr>
                <w:sz w:val="19"/>
                <w:szCs w:val="19"/>
                <w:lang w:val="en-GB"/>
              </w:rPr>
              <w:t xml:space="preserve">to check weight of child and provide counselling as needed for children </w:t>
            </w:r>
          </w:p>
          <w:p w14:paraId="07A6D00C" w14:textId="77777777" w:rsidR="005847C4" w:rsidRDefault="005847C4" w:rsidP="00A46E31">
            <w:pPr>
              <w:rPr>
                <w:sz w:val="19"/>
                <w:szCs w:val="19"/>
                <w:lang w:val="en-GB"/>
              </w:rPr>
            </w:pPr>
          </w:p>
          <w:p w14:paraId="045133E3" w14:textId="0344EB61" w:rsidR="005847C4" w:rsidRPr="005847C4" w:rsidRDefault="005847C4" w:rsidP="00A46E31">
            <w:pPr>
              <w:rPr>
                <w:b/>
                <w:sz w:val="19"/>
                <w:szCs w:val="19"/>
                <w:lang w:val="en-GB"/>
              </w:rPr>
            </w:pPr>
            <w:r w:rsidRPr="005847C4">
              <w:rPr>
                <w:b/>
                <w:sz w:val="19"/>
                <w:szCs w:val="19"/>
                <w:lang w:val="en-GB"/>
              </w:rPr>
              <w:t>Optional, exceed</w:t>
            </w:r>
            <w:r>
              <w:rPr>
                <w:b/>
                <w:sz w:val="19"/>
                <w:szCs w:val="19"/>
                <w:lang w:val="en-GB"/>
              </w:rPr>
              <w:t>ing</w:t>
            </w:r>
            <w:r w:rsidRPr="005847C4">
              <w:rPr>
                <w:b/>
                <w:sz w:val="19"/>
                <w:szCs w:val="19"/>
                <w:lang w:val="en-GB"/>
              </w:rPr>
              <w:t xml:space="preserve"> expectations: </w:t>
            </w:r>
          </w:p>
          <w:p w14:paraId="29A70FB0" w14:textId="23DBF958" w:rsidR="005847C4" w:rsidRPr="00F5027C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69295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A4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>
              <w:rPr>
                <w:sz w:val="19"/>
                <w:szCs w:val="19"/>
                <w:lang w:val="en-GB"/>
              </w:rPr>
              <w:t xml:space="preserve">Volunteers visit PDH participant households </w:t>
            </w:r>
            <w:r w:rsidR="005847C4" w:rsidRPr="00A46E31">
              <w:rPr>
                <w:sz w:val="19"/>
                <w:szCs w:val="19"/>
                <w:lang w:val="en-GB"/>
              </w:rPr>
              <w:t>monthly for up to a year</w:t>
            </w:r>
            <w:r w:rsidR="005847C4">
              <w:rPr>
                <w:sz w:val="19"/>
                <w:szCs w:val="19"/>
                <w:lang w:val="en-GB"/>
              </w:rPr>
              <w:t xml:space="preserve"> (exceeds expectations) 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414D407D" w14:textId="2897C932" w:rsidR="009406EF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9406EF" w:rsidRPr="001268DA" w14:paraId="5E615287" w14:textId="4BAFC404" w:rsidTr="00F5027C">
        <w:trPr>
          <w:trHeight w:val="1241"/>
        </w:trPr>
        <w:tc>
          <w:tcPr>
            <w:tcW w:w="956" w:type="pct"/>
            <w:shd w:val="clear" w:color="auto" w:fill="DBE5F1" w:themeFill="accent1" w:themeFillTint="33"/>
          </w:tcPr>
          <w:p w14:paraId="017AF561" w14:textId="17253481" w:rsidR="009406EF" w:rsidRPr="001268DA" w:rsidRDefault="005847C4" w:rsidP="00095E02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5</w:t>
            </w:r>
            <w:r w:rsidR="009406EF" w:rsidRPr="001268DA">
              <w:rPr>
                <w:sz w:val="19"/>
                <w:szCs w:val="19"/>
                <w:lang w:val="en-GB"/>
              </w:rPr>
              <w:t xml:space="preserve">. 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 xml:space="preserve">If a child doesn’t gain </w:t>
            </w:r>
            <w:r w:rsidR="009406EF">
              <w:rPr>
                <w:b/>
                <w:sz w:val="19"/>
                <w:szCs w:val="19"/>
                <w:lang w:val="en-GB"/>
              </w:rPr>
              <w:t xml:space="preserve">weight 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>after two sessions, refer the child to the health centre.</w:t>
            </w:r>
          </w:p>
          <w:p w14:paraId="3C68AFBF" w14:textId="340DCC3D" w:rsidR="009406EF" w:rsidRPr="001268DA" w:rsidRDefault="009406EF" w:rsidP="00095E02">
            <w:pPr>
              <w:pStyle w:val="ListParagraph"/>
              <w:spacing w:after="0" w:line="240" w:lineRule="auto"/>
              <w:ind w:left="86"/>
              <w:rPr>
                <w:sz w:val="19"/>
                <w:szCs w:val="19"/>
                <w:lang w:val="en-GB"/>
              </w:rPr>
            </w:pPr>
          </w:p>
        </w:tc>
        <w:tc>
          <w:tcPr>
            <w:tcW w:w="3792" w:type="pct"/>
            <w:shd w:val="clear" w:color="auto" w:fill="DBE5F1" w:themeFill="accent1" w:themeFillTint="33"/>
          </w:tcPr>
          <w:p w14:paraId="010E7AB0" w14:textId="132C2B1A" w:rsidR="00A46E31" w:rsidRPr="00A46E31" w:rsidRDefault="00AF595D" w:rsidP="00A46E31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65518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E31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A46E31" w:rsidRPr="00A46E31">
              <w:rPr>
                <w:sz w:val="19"/>
                <w:szCs w:val="19"/>
                <w:lang w:val="en-GB"/>
              </w:rPr>
              <w:t xml:space="preserve"> Children are referred to the health centre if they don’t gain any weight or lose weight on Day 12 of Hearth.</w:t>
            </w:r>
          </w:p>
          <w:p w14:paraId="23855E26" w14:textId="05A0AF2E" w:rsidR="00A46E31" w:rsidRPr="00A46E31" w:rsidRDefault="00AF595D" w:rsidP="00A46E31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84339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E31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A46E31" w:rsidRPr="00A46E31">
              <w:rPr>
                <w:sz w:val="19"/>
                <w:szCs w:val="19"/>
                <w:lang w:val="en-GB"/>
              </w:rPr>
              <w:t xml:space="preserve"> Children with ‘Red’ MUAC or severely acutely malnourished are referred to the Health Centre</w:t>
            </w:r>
          </w:p>
          <w:p w14:paraId="4E7991BA" w14:textId="6AFA9C42" w:rsidR="00A46E31" w:rsidRPr="00A46E31" w:rsidRDefault="00AF595D" w:rsidP="00A46E31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14959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E31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A46E31" w:rsidRPr="00A46E31">
              <w:rPr>
                <w:sz w:val="19"/>
                <w:szCs w:val="19"/>
                <w:lang w:val="en-GB"/>
              </w:rPr>
              <w:t xml:space="preserve"> Children are referred to the health centre if they don’t gain 400g or more weight after two rounds of Hearth sessions on Day 30.</w:t>
            </w:r>
          </w:p>
          <w:p w14:paraId="2F86B883" w14:textId="2D838304" w:rsidR="009406EF" w:rsidRPr="00A46E31" w:rsidRDefault="00AF595D" w:rsidP="00A46E31">
            <w:pPr>
              <w:rPr>
                <w:rFonts w:ascii="Gill Sans MT" w:hAnsi="Gill Sans MT"/>
                <w:b/>
                <w:sz w:val="19"/>
                <w:szCs w:val="19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45244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E31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A46E31" w:rsidRPr="00A46E31">
              <w:rPr>
                <w:sz w:val="19"/>
                <w:szCs w:val="19"/>
                <w:lang w:val="en-GB"/>
              </w:rPr>
              <w:t xml:space="preserve"> Children are referred to the health centre if they are sick during Hearth sess</w:t>
            </w:r>
            <w:r w:rsidR="00A46E31">
              <w:rPr>
                <w:sz w:val="19"/>
                <w:szCs w:val="19"/>
                <w:lang w:val="en-GB"/>
              </w:rPr>
              <w:t>ions or during follow-up visits.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30FFA7AB" w14:textId="620E4579" w:rsidR="009406EF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9406EF" w:rsidRPr="001268DA" w14:paraId="5F382630" w14:textId="5AD01945" w:rsidTr="00F5027C">
        <w:trPr>
          <w:trHeight w:val="1079"/>
        </w:trPr>
        <w:tc>
          <w:tcPr>
            <w:tcW w:w="956" w:type="pct"/>
            <w:shd w:val="clear" w:color="auto" w:fill="DBE5F1" w:themeFill="accent1" w:themeFillTint="33"/>
          </w:tcPr>
          <w:p w14:paraId="56A7F62F" w14:textId="4257D973" w:rsidR="009406EF" w:rsidRPr="001268DA" w:rsidRDefault="005847C4" w:rsidP="00095E02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6</w:t>
            </w:r>
            <w:r w:rsidR="009406EF" w:rsidRPr="001268DA">
              <w:rPr>
                <w:sz w:val="19"/>
                <w:szCs w:val="19"/>
                <w:lang w:val="en-GB"/>
              </w:rPr>
              <w:t xml:space="preserve">. 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 xml:space="preserve">Limit the number of participants in each Hearth session </w:t>
            </w:r>
            <w:r>
              <w:rPr>
                <w:b/>
                <w:sz w:val="19"/>
                <w:szCs w:val="19"/>
                <w:lang w:val="en-GB"/>
              </w:rPr>
              <w:t>6-10 caregivers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>.</w:t>
            </w:r>
          </w:p>
          <w:p w14:paraId="7B580A50" w14:textId="10611761" w:rsidR="009406EF" w:rsidRPr="001268DA" w:rsidRDefault="009406EF" w:rsidP="00095E02">
            <w:pPr>
              <w:pStyle w:val="ListParagraph"/>
              <w:spacing w:after="0" w:line="240" w:lineRule="auto"/>
              <w:ind w:left="86"/>
              <w:rPr>
                <w:sz w:val="19"/>
                <w:szCs w:val="19"/>
                <w:lang w:val="en-GB"/>
              </w:rPr>
            </w:pPr>
          </w:p>
        </w:tc>
        <w:tc>
          <w:tcPr>
            <w:tcW w:w="3792" w:type="pct"/>
            <w:shd w:val="clear" w:color="auto" w:fill="DBE5F1" w:themeFill="accent1" w:themeFillTint="33"/>
          </w:tcPr>
          <w:p w14:paraId="399474FD" w14:textId="72B22950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2007815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 w:rsidRPr="005847C4">
              <w:rPr>
                <w:sz w:val="19"/>
                <w:szCs w:val="19"/>
                <w:lang w:val="en-GB"/>
              </w:rPr>
              <w:t>Approximately 6-10 children participate in Hearth sessions.</w:t>
            </w:r>
          </w:p>
          <w:p w14:paraId="0F58EE32" w14:textId="2904B1A0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56687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 w:rsidRPr="005847C4">
              <w:rPr>
                <w:sz w:val="19"/>
                <w:szCs w:val="19"/>
                <w:lang w:val="en-GB"/>
              </w:rPr>
              <w:t xml:space="preserve">A maximum of ten caregivers participate in Hearth sessions.  </w:t>
            </w:r>
          </w:p>
          <w:p w14:paraId="61B6B74C" w14:textId="7C1EBBE2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61463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 w:rsidRPr="005847C4">
              <w:rPr>
                <w:sz w:val="19"/>
                <w:szCs w:val="19"/>
                <w:lang w:val="en-GB"/>
              </w:rPr>
              <w:t xml:space="preserve">Caregivers who are absent more than 2 days are dropped from the PDH program and are included in the next round of Hearth sessions </w:t>
            </w:r>
          </w:p>
          <w:p w14:paraId="39A2D539" w14:textId="51884208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395277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 w:rsidRPr="005847C4">
              <w:rPr>
                <w:sz w:val="19"/>
                <w:szCs w:val="19"/>
                <w:lang w:val="en-GB"/>
              </w:rPr>
              <w:t>All caregivers perform all the activities at least once in the 10-12 days of Hearth.  The rotation of activities is even across the caregivers.</w:t>
            </w:r>
          </w:p>
          <w:p w14:paraId="36DAB3CA" w14:textId="158D5360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2062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 w:rsidRPr="005847C4">
              <w:rPr>
                <w:sz w:val="19"/>
                <w:szCs w:val="19"/>
                <w:lang w:val="en-GB"/>
              </w:rPr>
              <w:t xml:space="preserve">Caregivers can all recite the two key Hearth menus </w:t>
            </w:r>
          </w:p>
          <w:p w14:paraId="0F30A6E5" w14:textId="77777777" w:rsidR="009406EF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746105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 w:rsidRPr="005847C4">
              <w:rPr>
                <w:sz w:val="19"/>
                <w:szCs w:val="19"/>
                <w:lang w:val="en-GB"/>
              </w:rPr>
              <w:t>Caregivers can all recite the six key Hearth messages</w:t>
            </w:r>
          </w:p>
          <w:p w14:paraId="418C8379" w14:textId="77777777" w:rsidR="005847C4" w:rsidRDefault="005847C4" w:rsidP="005847C4">
            <w:pPr>
              <w:rPr>
                <w:sz w:val="19"/>
                <w:szCs w:val="19"/>
                <w:lang w:val="en-GB"/>
              </w:rPr>
            </w:pPr>
          </w:p>
          <w:p w14:paraId="469C835C" w14:textId="24AF3592" w:rsidR="005847C4" w:rsidRPr="005847C4" w:rsidRDefault="005847C4" w:rsidP="005847C4">
            <w:pPr>
              <w:rPr>
                <w:b/>
                <w:sz w:val="19"/>
                <w:szCs w:val="19"/>
                <w:lang w:val="en-GB"/>
              </w:rPr>
            </w:pPr>
            <w:r>
              <w:rPr>
                <w:b/>
                <w:sz w:val="19"/>
                <w:szCs w:val="19"/>
                <w:lang w:val="en-GB"/>
              </w:rPr>
              <w:t>Optional, exceeding expectations:</w:t>
            </w:r>
          </w:p>
          <w:p w14:paraId="324D6C15" w14:textId="498777D5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747251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A46E31">
              <w:rPr>
                <w:sz w:val="19"/>
                <w:szCs w:val="19"/>
                <w:lang w:val="en-GB"/>
              </w:rPr>
              <w:t xml:space="preserve"> </w:t>
            </w:r>
            <w:r w:rsidR="005847C4" w:rsidRPr="005847C4">
              <w:rPr>
                <w:sz w:val="19"/>
                <w:szCs w:val="19"/>
              </w:rPr>
              <w:t>Caregivers are aware of the food substitutes for various seasons</w:t>
            </w:r>
            <w:r w:rsidR="005847C4">
              <w:rPr>
                <w:sz w:val="19"/>
                <w:szCs w:val="19"/>
              </w:rPr>
              <w:t xml:space="preserve"> for the ingredients in the menu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7C665736" w14:textId="588C29A4" w:rsidR="009406EF" w:rsidRPr="00F5027C" w:rsidRDefault="009406EF" w:rsidP="0085680E">
            <w:pPr>
              <w:jc w:val="center"/>
              <w:rPr>
                <w:sz w:val="19"/>
                <w:szCs w:val="19"/>
                <w:lang w:val="en-GB"/>
              </w:rPr>
            </w:pPr>
          </w:p>
        </w:tc>
      </w:tr>
      <w:tr w:rsidR="009406EF" w:rsidRPr="001268DA" w14:paraId="656FD94F" w14:textId="7D2CA913" w:rsidTr="00F5027C">
        <w:tc>
          <w:tcPr>
            <w:tcW w:w="956" w:type="pct"/>
            <w:shd w:val="clear" w:color="auto" w:fill="DBE5F1" w:themeFill="accent1" w:themeFillTint="33"/>
          </w:tcPr>
          <w:p w14:paraId="081DE0FF" w14:textId="25092852" w:rsidR="009406EF" w:rsidRPr="001268DA" w:rsidRDefault="005847C4" w:rsidP="00095E02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7</w:t>
            </w:r>
            <w:r w:rsidR="009406EF" w:rsidRPr="001268DA">
              <w:rPr>
                <w:sz w:val="19"/>
                <w:szCs w:val="19"/>
                <w:lang w:val="en-GB"/>
              </w:rPr>
              <w:t xml:space="preserve">. </w:t>
            </w:r>
            <w:r w:rsidR="009406EF" w:rsidRPr="001268DA">
              <w:rPr>
                <w:b/>
                <w:sz w:val="19"/>
                <w:szCs w:val="19"/>
                <w:lang w:val="en-GB"/>
              </w:rPr>
              <w:t>Monitor and evaluate progress.</w:t>
            </w:r>
          </w:p>
          <w:p w14:paraId="1BFB2B5C" w14:textId="77CAA832" w:rsidR="009406EF" w:rsidRPr="001268DA" w:rsidRDefault="009406EF" w:rsidP="00095E02">
            <w:pPr>
              <w:pStyle w:val="ListParagraph"/>
              <w:spacing w:after="0" w:line="240" w:lineRule="auto"/>
              <w:ind w:left="86"/>
              <w:rPr>
                <w:sz w:val="19"/>
                <w:szCs w:val="19"/>
                <w:lang w:val="en-GB"/>
              </w:rPr>
            </w:pPr>
            <w:r w:rsidRPr="001268DA">
              <w:rPr>
                <w:sz w:val="19"/>
                <w:szCs w:val="19"/>
                <w:lang w:val="en-GB"/>
              </w:rPr>
              <w:t xml:space="preserve"> 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7047CD53" w14:textId="0DEAE3A7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82273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5847C4">
              <w:rPr>
                <w:sz w:val="19"/>
                <w:szCs w:val="19"/>
                <w:lang w:val="en-GB"/>
              </w:rPr>
              <w:t xml:space="preserve"> The admi</w:t>
            </w:r>
            <w:r w:rsidR="005847C4">
              <w:rPr>
                <w:sz w:val="19"/>
                <w:szCs w:val="19"/>
                <w:lang w:val="en-GB"/>
              </w:rPr>
              <w:t>ssion and graduation criteria are</w:t>
            </w:r>
            <w:r w:rsidR="005847C4" w:rsidRPr="005847C4">
              <w:rPr>
                <w:sz w:val="19"/>
                <w:szCs w:val="19"/>
                <w:lang w:val="en-GB"/>
              </w:rPr>
              <w:t xml:space="preserve"> clear to the community volunteers, MoH staff and WV staff, especially the support of nutrition technical staff.</w:t>
            </w:r>
          </w:p>
          <w:p w14:paraId="0D9CE1F1" w14:textId="38FEE7D9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81175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5847C4">
              <w:rPr>
                <w:sz w:val="19"/>
                <w:szCs w:val="19"/>
                <w:lang w:val="en-GB"/>
              </w:rPr>
              <w:t xml:space="preserve"> Supervisors check the data from the volunteers to ensure quality and that programme changes happen if PD/Hearth does not rehabilitate children.</w:t>
            </w:r>
          </w:p>
          <w:p w14:paraId="56948688" w14:textId="3EC0A128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702079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5847C4">
              <w:rPr>
                <w:sz w:val="19"/>
                <w:szCs w:val="19"/>
                <w:lang w:val="en-GB"/>
              </w:rPr>
              <w:t xml:space="preserve"> Technical support is provided to supervisors so that they could adequately support volunteers in their work.</w:t>
            </w:r>
          </w:p>
          <w:p w14:paraId="1AFA0126" w14:textId="64B595A2" w:rsidR="005847C4" w:rsidRPr="005847C4" w:rsidRDefault="00AF595D" w:rsidP="005847C4">
            <w:pPr>
              <w:rPr>
                <w:b/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48237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5847C4">
              <w:rPr>
                <w:sz w:val="19"/>
                <w:szCs w:val="19"/>
                <w:lang w:val="en-GB"/>
              </w:rPr>
              <w:t xml:space="preserve"> Supervision of volunteers is ongoing with higher frequency of contact during the preparation of Hearth and the first month of hearth.</w:t>
            </w:r>
          </w:p>
          <w:p w14:paraId="440779E4" w14:textId="77777777" w:rsidR="009406EF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249154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5847C4">
              <w:rPr>
                <w:sz w:val="19"/>
                <w:szCs w:val="19"/>
                <w:lang w:val="en-GB"/>
              </w:rPr>
              <w:t xml:space="preserve"> Exit strategy is in place by ADP for when there is less than 6 underweight children in a community</w:t>
            </w:r>
          </w:p>
          <w:p w14:paraId="47F92787" w14:textId="77777777" w:rsidR="005847C4" w:rsidRDefault="005847C4" w:rsidP="005847C4">
            <w:pPr>
              <w:rPr>
                <w:sz w:val="19"/>
                <w:szCs w:val="19"/>
                <w:lang w:val="en-GB"/>
              </w:rPr>
            </w:pPr>
          </w:p>
          <w:p w14:paraId="3C6E38D7" w14:textId="6B875EED" w:rsidR="005847C4" w:rsidRPr="005847C4" w:rsidRDefault="005847C4" w:rsidP="005847C4">
            <w:pPr>
              <w:rPr>
                <w:b/>
                <w:sz w:val="19"/>
                <w:szCs w:val="19"/>
                <w:lang w:val="en-GB"/>
              </w:rPr>
            </w:pPr>
            <w:r>
              <w:rPr>
                <w:b/>
                <w:sz w:val="19"/>
                <w:szCs w:val="19"/>
                <w:lang w:val="en-GB"/>
              </w:rPr>
              <w:t>Optional, exceeding expectations:</w:t>
            </w:r>
          </w:p>
          <w:p w14:paraId="02AD521F" w14:textId="43BBCE65" w:rsidR="005847C4" w:rsidRPr="005847C4" w:rsidRDefault="00AF595D" w:rsidP="005847C4">
            <w:pPr>
              <w:rPr>
                <w:sz w:val="19"/>
                <w:szCs w:val="19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98049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 w:rsidRP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5847C4">
              <w:rPr>
                <w:sz w:val="19"/>
                <w:szCs w:val="19"/>
                <w:lang w:val="en-GB"/>
              </w:rPr>
              <w:t xml:space="preserve"> </w:t>
            </w:r>
            <w:r w:rsidR="005847C4" w:rsidRPr="005847C4">
              <w:rPr>
                <w:sz w:val="19"/>
                <w:szCs w:val="19"/>
              </w:rPr>
              <w:t>The graduation criteria is clear to the community leaders and members</w:t>
            </w:r>
          </w:p>
          <w:p w14:paraId="53E28233" w14:textId="77777777" w:rsidR="005847C4" w:rsidRPr="005847C4" w:rsidRDefault="00AF595D" w:rsidP="005847C4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0447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 w:rsidRP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5847C4">
              <w:rPr>
                <w:sz w:val="19"/>
                <w:szCs w:val="19"/>
                <w:lang w:val="en-GB"/>
              </w:rPr>
              <w:t xml:space="preserve"> Supervisors report monitoring data to higher levels within the Ministry of Health and World Vision </w:t>
            </w:r>
          </w:p>
          <w:p w14:paraId="2833C741" w14:textId="33A9C81A" w:rsidR="005847C4" w:rsidRPr="005847C4" w:rsidRDefault="00AF595D" w:rsidP="005847C4">
            <w:pPr>
              <w:rPr>
                <w:i/>
                <w:sz w:val="19"/>
                <w:szCs w:val="19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650331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 w:rsidRP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 w:rsidRPr="005847C4">
              <w:rPr>
                <w:sz w:val="19"/>
                <w:szCs w:val="19"/>
                <w:lang w:val="en-GB"/>
              </w:rPr>
              <w:t xml:space="preserve"> Results of PDH data is shared with the community and a graduation ceremony is conducted regularly with the community 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355F44D9" w14:textId="14266DFE" w:rsidR="009406EF" w:rsidRPr="00F5027C" w:rsidRDefault="009406EF" w:rsidP="0085680E">
            <w:pPr>
              <w:jc w:val="center"/>
              <w:rPr>
                <w:sz w:val="19"/>
                <w:szCs w:val="19"/>
                <w:lang w:val="en-GB"/>
              </w:rPr>
            </w:pPr>
          </w:p>
        </w:tc>
      </w:tr>
      <w:tr w:rsidR="005847C4" w:rsidRPr="001268DA" w14:paraId="1BB12F25" w14:textId="77777777" w:rsidTr="00F5027C">
        <w:tc>
          <w:tcPr>
            <w:tcW w:w="956" w:type="pct"/>
            <w:shd w:val="clear" w:color="auto" w:fill="DBE5F1" w:themeFill="accent1" w:themeFillTint="33"/>
          </w:tcPr>
          <w:p w14:paraId="1B73A08D" w14:textId="3F6565BF" w:rsidR="005847C4" w:rsidRPr="005847C4" w:rsidRDefault="005847C4" w:rsidP="00095E02">
            <w:pPr>
              <w:ind w:left="86"/>
              <w:contextualSpacing/>
              <w:rPr>
                <w:b/>
                <w:sz w:val="19"/>
                <w:szCs w:val="19"/>
                <w:lang w:val="en-GB"/>
              </w:rPr>
            </w:pPr>
            <w:r w:rsidRPr="00A230DB">
              <w:rPr>
                <w:sz w:val="19"/>
                <w:szCs w:val="19"/>
                <w:lang w:val="en-GB"/>
              </w:rPr>
              <w:lastRenderedPageBreak/>
              <w:t>8.</w:t>
            </w:r>
            <w:r w:rsidRPr="005847C4">
              <w:rPr>
                <w:b/>
                <w:sz w:val="19"/>
                <w:szCs w:val="19"/>
                <w:lang w:val="en-GB"/>
              </w:rPr>
              <w:t xml:space="preserve"> An exit strategy exists for when there are less than 6 underweight children in the community.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3DE3008A" w14:textId="645C6770" w:rsidR="005847C4" w:rsidRDefault="00AF595D" w:rsidP="005847C4">
            <w:pPr>
              <w:rPr>
                <w:rFonts w:ascii="Gill Sans MT" w:hAnsi="Gill Sans MT"/>
                <w:b/>
                <w:sz w:val="16"/>
                <w:szCs w:val="16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7695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7C4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847C4">
              <w:t xml:space="preserve"> </w:t>
            </w:r>
            <w:r w:rsidR="005847C4" w:rsidRPr="005847C4">
              <w:rPr>
                <w:sz w:val="19"/>
                <w:szCs w:val="19"/>
              </w:rPr>
              <w:t>An excellent strategy exists that will sustain and prevent future malnutrition in the community and integrates PDH with other sectors such as livelihoods, agriculture, WASH, economic development, etc.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48987444" w14:textId="77777777" w:rsidR="005847C4" w:rsidRDefault="005847C4" w:rsidP="0085680E">
            <w:pPr>
              <w:jc w:val="center"/>
              <w:rPr>
                <w:sz w:val="19"/>
                <w:szCs w:val="19"/>
                <w:lang w:val="en-GB"/>
              </w:rPr>
            </w:pPr>
          </w:p>
        </w:tc>
      </w:tr>
      <w:tr w:rsidR="00F5027C" w:rsidRPr="001268DA" w14:paraId="37BAABF4" w14:textId="77777777" w:rsidTr="00F5027C">
        <w:tc>
          <w:tcPr>
            <w:tcW w:w="4748" w:type="pct"/>
            <w:gridSpan w:val="2"/>
            <w:shd w:val="clear" w:color="auto" w:fill="DBE5F1" w:themeFill="accent1" w:themeFillTint="33"/>
          </w:tcPr>
          <w:p w14:paraId="6D33C637" w14:textId="77777777" w:rsidR="00F5027C" w:rsidRDefault="00F5027C" w:rsidP="00F5027C">
            <w:pPr>
              <w:jc w:val="right"/>
              <w:rPr>
                <w:rFonts w:ascii="Gill Sans MT" w:eastAsia="MS Gothic" w:hAnsi="Gill Sans MT" w:cs="MS Gothic"/>
                <w:b/>
                <w:sz w:val="18"/>
                <w:szCs w:val="18"/>
              </w:rPr>
            </w:pPr>
          </w:p>
          <w:p w14:paraId="2CB974EC" w14:textId="0F639193" w:rsidR="00F5027C" w:rsidRPr="003C3ED5" w:rsidRDefault="00F5027C" w:rsidP="00F5027C">
            <w:pPr>
              <w:jc w:val="right"/>
              <w:rPr>
                <w:rFonts w:ascii="Gill Sans MT" w:eastAsia="MS Gothic" w:hAnsi="Gill Sans MT" w:cs="MS Gothic"/>
                <w:b/>
                <w:sz w:val="18"/>
                <w:szCs w:val="18"/>
              </w:rPr>
            </w:pPr>
            <w:r>
              <w:rPr>
                <w:rFonts w:ascii="Gill Sans MT" w:eastAsia="MS Gothic" w:hAnsi="Gill Sans MT" w:cs="MS Gothic"/>
                <w:b/>
                <w:sz w:val="18"/>
                <w:szCs w:val="18"/>
              </w:rPr>
              <w:t>OVERALL IQA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5B7D33A9" w14:textId="77777777" w:rsidR="00F5027C" w:rsidRDefault="00F5027C" w:rsidP="0085680E">
            <w:pPr>
              <w:jc w:val="center"/>
              <w:rPr>
                <w:sz w:val="19"/>
                <w:szCs w:val="19"/>
                <w:lang w:val="en-GB"/>
              </w:rPr>
            </w:pPr>
          </w:p>
          <w:p w14:paraId="61C75953" w14:textId="138C88F7" w:rsidR="00F5027C" w:rsidRPr="0085680E" w:rsidRDefault="00F5027C" w:rsidP="0085680E">
            <w:pPr>
              <w:jc w:val="center"/>
              <w:rPr>
                <w:b/>
                <w:sz w:val="19"/>
                <w:szCs w:val="19"/>
                <w:lang w:val="en-GB"/>
              </w:rPr>
            </w:pPr>
          </w:p>
        </w:tc>
      </w:tr>
    </w:tbl>
    <w:p w14:paraId="783E153C" w14:textId="77777777" w:rsidR="00F5027C" w:rsidRDefault="00F5027C" w:rsidP="004F18F8"/>
    <w:p w14:paraId="738F4B5A" w14:textId="77777777" w:rsidR="007D2DD8" w:rsidRDefault="007D2DD8" w:rsidP="004F18F8"/>
    <w:p w14:paraId="2DCD8CB7" w14:textId="77777777" w:rsidR="007D2DD8" w:rsidRDefault="007D2DD8" w:rsidP="004F18F8"/>
    <w:p w14:paraId="1BDDCC7C" w14:textId="77777777" w:rsidR="007D2DD8" w:rsidRDefault="007D2DD8" w:rsidP="004F18F8"/>
    <w:p w14:paraId="5F1E9985" w14:textId="77777777" w:rsidR="007D2DD8" w:rsidRDefault="007D2DD8" w:rsidP="004F18F8"/>
    <w:p w14:paraId="33F47163" w14:textId="6DC6C7DD" w:rsidR="007D2DD8" w:rsidRPr="00550869" w:rsidRDefault="00550869" w:rsidP="004F18F8">
      <w:pPr>
        <w:rPr>
          <w:rFonts w:ascii="Gill Sans MT" w:hAnsi="Gill Sans MT"/>
          <w:sz w:val="18"/>
          <w:szCs w:val="18"/>
        </w:rPr>
      </w:pPr>
      <w:r w:rsidRPr="00550869">
        <w:rPr>
          <w:rFonts w:ascii="Gill Sans MT" w:hAnsi="Gill Sans MT"/>
          <w:sz w:val="18"/>
          <w:szCs w:val="18"/>
          <w:u w:val="single"/>
        </w:rPr>
        <w:t>Instructions:</w:t>
      </w:r>
      <w:r>
        <w:rPr>
          <w:rFonts w:ascii="Gill Sans MT" w:hAnsi="Gill Sans MT"/>
          <w:sz w:val="18"/>
          <w:szCs w:val="18"/>
        </w:rPr>
        <w:t xml:space="preserve"> </w:t>
      </w:r>
      <w:r w:rsidRPr="00550869">
        <w:rPr>
          <w:rFonts w:ascii="Gill Sans MT" w:hAnsi="Gill Sans MT"/>
          <w:sz w:val="18"/>
          <w:szCs w:val="18"/>
        </w:rPr>
        <w:t>Feel free to note any variances and the data source used in the IQA assessment of the essential elements.</w:t>
      </w:r>
      <w:r>
        <w:rPr>
          <w:rFonts w:ascii="Gill Sans MT" w:hAnsi="Gill Sans MT"/>
          <w:sz w:val="18"/>
          <w:szCs w:val="18"/>
        </w:rPr>
        <w:t xml:space="preserve">  Document recommendations and next steps in the space below.</w:t>
      </w:r>
    </w:p>
    <w:tbl>
      <w:tblPr>
        <w:tblStyle w:val="TableGrid"/>
        <w:tblpPr w:leftFromText="180" w:rightFromText="180" w:vertAnchor="text" w:horzAnchor="margin" w:tblpY="379"/>
        <w:tblW w:w="14670" w:type="dxa"/>
        <w:tblLook w:val="04A0" w:firstRow="1" w:lastRow="0" w:firstColumn="1" w:lastColumn="0" w:noHBand="0" w:noVBand="1"/>
      </w:tblPr>
      <w:tblGrid>
        <w:gridCol w:w="468"/>
        <w:gridCol w:w="10512"/>
        <w:gridCol w:w="3690"/>
      </w:tblGrid>
      <w:tr w:rsidR="00F5027C" w:rsidRPr="007E43A5" w14:paraId="1A043329" w14:textId="77777777" w:rsidTr="00F5027C">
        <w:tc>
          <w:tcPr>
            <w:tcW w:w="468" w:type="dxa"/>
          </w:tcPr>
          <w:p w14:paraId="1BFB3769" w14:textId="77777777" w:rsidR="00F5027C" w:rsidRPr="007E43A5" w:rsidRDefault="00F5027C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7E43A5">
              <w:rPr>
                <w:rFonts w:ascii="Gill Sans MT" w:hAnsi="Gill Sans MT"/>
                <w:b/>
                <w:sz w:val="18"/>
                <w:szCs w:val="18"/>
              </w:rPr>
              <w:t>EE</w:t>
            </w:r>
          </w:p>
        </w:tc>
        <w:tc>
          <w:tcPr>
            <w:tcW w:w="10512" w:type="dxa"/>
          </w:tcPr>
          <w:p w14:paraId="0F89690D" w14:textId="781A4561" w:rsidR="00F5027C" w:rsidRPr="007E43A5" w:rsidRDefault="00561A40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Notes</w:t>
            </w:r>
          </w:p>
        </w:tc>
        <w:tc>
          <w:tcPr>
            <w:tcW w:w="3690" w:type="dxa"/>
          </w:tcPr>
          <w:p w14:paraId="258FD5A7" w14:textId="77777777" w:rsidR="00F5027C" w:rsidRPr="007E43A5" w:rsidRDefault="00F5027C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7E43A5">
              <w:rPr>
                <w:rFonts w:ascii="Gill Sans MT" w:hAnsi="Gill Sans MT"/>
                <w:b/>
                <w:sz w:val="18"/>
                <w:szCs w:val="18"/>
              </w:rPr>
              <w:t>Data source</w:t>
            </w:r>
          </w:p>
        </w:tc>
      </w:tr>
      <w:tr w:rsidR="00F5027C" w:rsidRPr="007E43A5" w14:paraId="734675B5" w14:textId="77777777" w:rsidTr="00F5027C">
        <w:tc>
          <w:tcPr>
            <w:tcW w:w="468" w:type="dxa"/>
          </w:tcPr>
          <w:p w14:paraId="2E2B72AA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1</w:t>
            </w:r>
          </w:p>
        </w:tc>
        <w:tc>
          <w:tcPr>
            <w:tcW w:w="10512" w:type="dxa"/>
          </w:tcPr>
          <w:p w14:paraId="53DABFE2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0A001450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4017FCB5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3EA84473" w14:textId="77777777" w:rsidTr="00F5027C">
        <w:tc>
          <w:tcPr>
            <w:tcW w:w="468" w:type="dxa"/>
          </w:tcPr>
          <w:p w14:paraId="711E854E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2</w:t>
            </w:r>
          </w:p>
        </w:tc>
        <w:tc>
          <w:tcPr>
            <w:tcW w:w="10512" w:type="dxa"/>
          </w:tcPr>
          <w:p w14:paraId="3AECF866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0022CA9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5E780D6F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642955CD" w14:textId="77777777" w:rsidTr="00F5027C">
        <w:tc>
          <w:tcPr>
            <w:tcW w:w="468" w:type="dxa"/>
          </w:tcPr>
          <w:p w14:paraId="5856C38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3</w:t>
            </w:r>
          </w:p>
        </w:tc>
        <w:tc>
          <w:tcPr>
            <w:tcW w:w="10512" w:type="dxa"/>
          </w:tcPr>
          <w:p w14:paraId="1398AE8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636CFEC8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67773B43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0DF2E452" w14:textId="77777777" w:rsidTr="00F5027C">
        <w:tc>
          <w:tcPr>
            <w:tcW w:w="468" w:type="dxa"/>
          </w:tcPr>
          <w:p w14:paraId="20CD78D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4</w:t>
            </w:r>
          </w:p>
        </w:tc>
        <w:tc>
          <w:tcPr>
            <w:tcW w:w="10512" w:type="dxa"/>
          </w:tcPr>
          <w:p w14:paraId="05A24C2B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E50C299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3B462B2B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4CE03DEB" w14:textId="77777777" w:rsidTr="00F5027C">
        <w:tc>
          <w:tcPr>
            <w:tcW w:w="468" w:type="dxa"/>
          </w:tcPr>
          <w:p w14:paraId="3A2DCD25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5</w:t>
            </w:r>
          </w:p>
        </w:tc>
        <w:tc>
          <w:tcPr>
            <w:tcW w:w="10512" w:type="dxa"/>
          </w:tcPr>
          <w:p w14:paraId="0A23D67E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BE84F48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3A3636C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2B70F4BC" w14:textId="77777777" w:rsidTr="00F5027C">
        <w:tc>
          <w:tcPr>
            <w:tcW w:w="468" w:type="dxa"/>
          </w:tcPr>
          <w:p w14:paraId="51B4411A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6</w:t>
            </w:r>
          </w:p>
        </w:tc>
        <w:tc>
          <w:tcPr>
            <w:tcW w:w="10512" w:type="dxa"/>
          </w:tcPr>
          <w:p w14:paraId="0B326F65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28E82D3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6E1B614F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2E1F2427" w14:textId="77777777" w:rsidTr="00F5027C">
        <w:tc>
          <w:tcPr>
            <w:tcW w:w="468" w:type="dxa"/>
          </w:tcPr>
          <w:p w14:paraId="27698C7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7</w:t>
            </w:r>
          </w:p>
        </w:tc>
        <w:tc>
          <w:tcPr>
            <w:tcW w:w="10512" w:type="dxa"/>
          </w:tcPr>
          <w:p w14:paraId="173E859A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54982CA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6CF5D5F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6D1CBADF" w14:textId="77777777" w:rsidTr="00F5027C">
        <w:tc>
          <w:tcPr>
            <w:tcW w:w="468" w:type="dxa"/>
          </w:tcPr>
          <w:p w14:paraId="7BBAAC8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8</w:t>
            </w:r>
          </w:p>
        </w:tc>
        <w:tc>
          <w:tcPr>
            <w:tcW w:w="10512" w:type="dxa"/>
          </w:tcPr>
          <w:p w14:paraId="4379B85F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2FA2DB9F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15D024B4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56818AE6" w14:textId="77777777" w:rsidTr="00F5027C">
        <w:tc>
          <w:tcPr>
            <w:tcW w:w="14670" w:type="dxa"/>
            <w:gridSpan w:val="3"/>
          </w:tcPr>
          <w:p w14:paraId="5DB87477" w14:textId="77777777" w:rsidR="00F5027C" w:rsidRPr="00F5027C" w:rsidRDefault="00F5027C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F5027C">
              <w:rPr>
                <w:rFonts w:ascii="Gill Sans MT" w:hAnsi="Gill Sans MT"/>
                <w:b/>
                <w:sz w:val="18"/>
                <w:szCs w:val="18"/>
              </w:rPr>
              <w:t>Recommendations and next steps:</w:t>
            </w:r>
          </w:p>
          <w:p w14:paraId="0858E428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55358DB9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64A8EEB5" w14:textId="77777777" w:rsid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5C2D7AC8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FDA86F9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D78C38B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75C30AC8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</w:tbl>
    <w:p w14:paraId="00C18AEC" w14:textId="77777777" w:rsidR="00F5027C" w:rsidRDefault="00F5027C" w:rsidP="007D2DD8"/>
    <w:sectPr w:rsidR="00F5027C" w:rsidSect="005B679D">
      <w:headerReference w:type="default" r:id="rId8"/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F3B2F" w14:textId="77777777" w:rsidR="00AF595D" w:rsidRDefault="00AF595D" w:rsidP="00F81920">
      <w:r>
        <w:separator/>
      </w:r>
    </w:p>
  </w:endnote>
  <w:endnote w:type="continuationSeparator" w:id="0">
    <w:p w14:paraId="3FAF10DE" w14:textId="77777777" w:rsidR="00AF595D" w:rsidRDefault="00AF595D" w:rsidP="00F8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1F65A" w14:textId="77777777" w:rsidR="00AF595D" w:rsidRDefault="00AF595D" w:rsidP="00F81920">
      <w:r>
        <w:separator/>
      </w:r>
    </w:p>
  </w:footnote>
  <w:footnote w:type="continuationSeparator" w:id="0">
    <w:p w14:paraId="7C0B7E0C" w14:textId="77777777" w:rsidR="00AF595D" w:rsidRDefault="00AF595D" w:rsidP="00F81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8F388" w14:textId="1254B75E" w:rsidR="00217C5B" w:rsidRPr="007D2DD8" w:rsidRDefault="007D2DD8" w:rsidP="003A3514">
    <w:pPr>
      <w:pStyle w:val="Header"/>
      <w:jc w:val="right"/>
      <w:rPr>
        <w:rFonts w:ascii="Gill Sans MT" w:hAnsi="Gill Sans MT"/>
        <w:b/>
        <w:sz w:val="24"/>
        <w:szCs w:val="24"/>
      </w:rPr>
    </w:pPr>
    <w:r w:rsidRPr="007D2DD8">
      <w:rPr>
        <w:rFonts w:ascii="Gill Sans MT" w:hAnsi="Gill Sans MT"/>
        <w:b/>
        <w:sz w:val="24"/>
        <w:szCs w:val="24"/>
      </w:rPr>
      <w:t>Implementation Quality Assurance Tool</w:t>
    </w:r>
    <w:r w:rsidR="00AF595D">
      <w:rPr>
        <w:rFonts w:ascii="Gill Sans MT" w:hAnsi="Gill Sans MT"/>
        <w:b/>
        <w:noProof/>
        <w:sz w:val="24"/>
        <w:szCs w:val="24"/>
        <w:lang w:eastAsia="zh-TW"/>
      </w:rPr>
      <w:pict w14:anchorId="3F20C3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Pr="007D2DD8">
      <w:rPr>
        <w:rFonts w:ascii="Gill Sans MT" w:hAnsi="Gill Sans MT"/>
        <w:b/>
        <w:sz w:val="24"/>
        <w:szCs w:val="24"/>
      </w:rPr>
      <w:t xml:space="preserve"> - </w:t>
    </w:r>
    <w:r w:rsidR="004F18F8" w:rsidRPr="007D2DD8">
      <w:rPr>
        <w:rFonts w:ascii="Gill Sans MT" w:hAnsi="Gill Sans MT"/>
        <w:b/>
        <w:noProof/>
        <w:sz w:val="24"/>
        <w:szCs w:val="24"/>
      </w:rPr>
      <w:t>PD/Hearth</w:t>
    </w:r>
    <w:r w:rsidR="000B079B">
      <w:rPr>
        <w:rFonts w:ascii="Gill Sans MT" w:hAnsi="Gill Sans MT"/>
        <w:b/>
        <w:noProof/>
        <w:sz w:val="24"/>
        <w:szCs w:val="24"/>
      </w:rPr>
      <w:t xml:space="preserve"> </w:t>
    </w:r>
    <w:r w:rsidR="002200C9">
      <w:rPr>
        <w:rFonts w:ascii="Gill Sans MT" w:hAnsi="Gill Sans MT"/>
        <w:b/>
        <w:noProof/>
        <w:sz w:val="24"/>
        <w:szCs w:val="24"/>
      </w:rPr>
      <w:t>IMPLEMENTATION</w:t>
    </w:r>
    <w:r w:rsidR="000B079B">
      <w:rPr>
        <w:rFonts w:ascii="Gill Sans MT" w:hAnsi="Gill Sans MT"/>
        <w:b/>
        <w:noProof/>
        <w:sz w:val="24"/>
        <w:szCs w:val="24"/>
      </w:rPr>
      <w:t xml:space="preserve"> ELEMENTS</w:t>
    </w:r>
    <w:r w:rsidR="0055222F">
      <w:rPr>
        <w:rFonts w:ascii="Gill Sans MT" w:hAnsi="Gill Sans MT"/>
        <w:b/>
        <w:noProof/>
        <w:sz w:val="24"/>
        <w:szCs w:val="24"/>
      </w:rPr>
      <w:t xml:space="preserve">           </w:t>
    </w:r>
    <w:r w:rsidR="0055222F" w:rsidRPr="00BD1EC9">
      <w:rPr>
        <w:rFonts w:ascii="Gill Sans MT" w:hAnsi="Gill Sans MT"/>
        <w:b/>
        <w:noProof/>
        <w:sz w:val="24"/>
        <w:szCs w:val="24"/>
      </w:rPr>
      <w:drawing>
        <wp:inline distT="0" distB="0" distL="0" distR="0" wp14:anchorId="55544ED5" wp14:editId="1E6135AC">
          <wp:extent cx="962025" cy="390010"/>
          <wp:effectExtent l="0" t="0" r="0" b="0"/>
          <wp:docPr id="1" name="Picture 1" descr="C:\Users\tsec\Pictures\World Vision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tsec\Pictures\World Vision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081" cy="394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35AA1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D78AA"/>
    <w:multiLevelType w:val="hybridMultilevel"/>
    <w:tmpl w:val="A2DC62FA"/>
    <w:lvl w:ilvl="0" w:tplc="04090005">
      <w:start w:val="1"/>
      <w:numFmt w:val="bullet"/>
      <w:lvlText w:val=""/>
      <w:lvlJc w:val="left"/>
      <w:pPr>
        <w:ind w:left="8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" w15:restartNumberingAfterBreak="0">
    <w:nsid w:val="042E0FF7"/>
    <w:multiLevelType w:val="hybridMultilevel"/>
    <w:tmpl w:val="38BE57D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1A71B9"/>
    <w:multiLevelType w:val="hybridMultilevel"/>
    <w:tmpl w:val="2E14F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CD4474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D0672"/>
    <w:multiLevelType w:val="hybridMultilevel"/>
    <w:tmpl w:val="F6CEE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42774"/>
    <w:multiLevelType w:val="hybridMultilevel"/>
    <w:tmpl w:val="48542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37BA6"/>
    <w:multiLevelType w:val="hybridMultilevel"/>
    <w:tmpl w:val="E1F40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457991"/>
    <w:multiLevelType w:val="hybridMultilevel"/>
    <w:tmpl w:val="E7704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C10075"/>
    <w:multiLevelType w:val="hybridMultilevel"/>
    <w:tmpl w:val="5AFE40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494EA1"/>
    <w:multiLevelType w:val="hybridMultilevel"/>
    <w:tmpl w:val="5E64AC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79292A"/>
    <w:multiLevelType w:val="hybridMultilevel"/>
    <w:tmpl w:val="259A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80ED8"/>
    <w:multiLevelType w:val="hybridMultilevel"/>
    <w:tmpl w:val="396652F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36637D"/>
    <w:multiLevelType w:val="hybridMultilevel"/>
    <w:tmpl w:val="B71E9D80"/>
    <w:lvl w:ilvl="0" w:tplc="C4D236D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D8483B"/>
    <w:multiLevelType w:val="hybridMultilevel"/>
    <w:tmpl w:val="991A0B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CC64D8"/>
    <w:multiLevelType w:val="hybridMultilevel"/>
    <w:tmpl w:val="0F745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FC7501"/>
    <w:multiLevelType w:val="hybridMultilevel"/>
    <w:tmpl w:val="C520D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1D7AD3"/>
    <w:multiLevelType w:val="hybridMultilevel"/>
    <w:tmpl w:val="28AEE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044C1D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A283D"/>
    <w:multiLevelType w:val="hybridMultilevel"/>
    <w:tmpl w:val="E1144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96594B"/>
    <w:multiLevelType w:val="hybridMultilevel"/>
    <w:tmpl w:val="7B3AC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260B6A">
      <w:numFmt w:val="bullet"/>
      <w:lvlText w:val="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C2F30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36358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5446C"/>
    <w:multiLevelType w:val="hybridMultilevel"/>
    <w:tmpl w:val="45486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0B6719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70164"/>
    <w:multiLevelType w:val="hybridMultilevel"/>
    <w:tmpl w:val="EF4E3152"/>
    <w:lvl w:ilvl="0" w:tplc="5EAE9AA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8C5D0D"/>
    <w:multiLevelType w:val="hybridMultilevel"/>
    <w:tmpl w:val="28C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F3445A"/>
    <w:multiLevelType w:val="hybridMultilevel"/>
    <w:tmpl w:val="E6CA59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BA5412"/>
    <w:multiLevelType w:val="hybridMultilevel"/>
    <w:tmpl w:val="A44685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0D494C"/>
    <w:multiLevelType w:val="hybridMultilevel"/>
    <w:tmpl w:val="59904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844956"/>
    <w:multiLevelType w:val="hybridMultilevel"/>
    <w:tmpl w:val="7666BA7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521BBA"/>
    <w:multiLevelType w:val="hybridMultilevel"/>
    <w:tmpl w:val="EC5647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0913A0"/>
    <w:multiLevelType w:val="hybridMultilevel"/>
    <w:tmpl w:val="37E00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E60CBC"/>
    <w:multiLevelType w:val="hybridMultilevel"/>
    <w:tmpl w:val="9AC01F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A33138"/>
    <w:multiLevelType w:val="hybridMultilevel"/>
    <w:tmpl w:val="2656F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CC5364"/>
    <w:multiLevelType w:val="hybridMultilevel"/>
    <w:tmpl w:val="B69AC3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6B2DDE"/>
    <w:multiLevelType w:val="hybridMultilevel"/>
    <w:tmpl w:val="44421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711F1"/>
    <w:multiLevelType w:val="hybridMultilevel"/>
    <w:tmpl w:val="E124DD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3B40C4"/>
    <w:multiLevelType w:val="hybridMultilevel"/>
    <w:tmpl w:val="EB84B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D06BE3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F277D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81778"/>
    <w:multiLevelType w:val="hybridMultilevel"/>
    <w:tmpl w:val="D28A8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1"/>
  </w:num>
  <w:num w:numId="4">
    <w:abstractNumId w:val="39"/>
  </w:num>
  <w:num w:numId="5">
    <w:abstractNumId w:val="40"/>
  </w:num>
  <w:num w:numId="6">
    <w:abstractNumId w:val="20"/>
  </w:num>
  <w:num w:numId="7">
    <w:abstractNumId w:val="24"/>
  </w:num>
  <w:num w:numId="8">
    <w:abstractNumId w:val="36"/>
  </w:num>
  <w:num w:numId="9">
    <w:abstractNumId w:val="18"/>
  </w:num>
  <w:num w:numId="10">
    <w:abstractNumId w:val="11"/>
  </w:num>
  <w:num w:numId="11">
    <w:abstractNumId w:val="6"/>
  </w:num>
  <w:num w:numId="12">
    <w:abstractNumId w:val="41"/>
  </w:num>
  <w:num w:numId="13">
    <w:abstractNumId w:val="34"/>
  </w:num>
  <w:num w:numId="14">
    <w:abstractNumId w:val="6"/>
  </w:num>
  <w:num w:numId="15">
    <w:abstractNumId w:val="34"/>
  </w:num>
  <w:num w:numId="16">
    <w:abstractNumId w:val="34"/>
  </w:num>
  <w:num w:numId="17">
    <w:abstractNumId w:val="3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4"/>
  </w:num>
  <w:num w:numId="21">
    <w:abstractNumId w:val="38"/>
  </w:num>
  <w:num w:numId="22">
    <w:abstractNumId w:val="23"/>
  </w:num>
  <w:num w:numId="23">
    <w:abstractNumId w:val="3"/>
  </w:num>
  <w:num w:numId="24">
    <w:abstractNumId w:val="29"/>
  </w:num>
  <w:num w:numId="25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0"/>
  </w:num>
  <w:num w:numId="27">
    <w:abstractNumId w:val="32"/>
  </w:num>
  <w:num w:numId="28">
    <w:abstractNumId w:val="8"/>
  </w:num>
  <w:num w:numId="29">
    <w:abstractNumId w:val="7"/>
  </w:num>
  <w:num w:numId="30">
    <w:abstractNumId w:val="16"/>
  </w:num>
  <w:num w:numId="31">
    <w:abstractNumId w:val="5"/>
  </w:num>
  <w:num w:numId="32">
    <w:abstractNumId w:val="17"/>
  </w:num>
  <w:num w:numId="33">
    <w:abstractNumId w:val="13"/>
  </w:num>
  <w:num w:numId="34">
    <w:abstractNumId w:val="37"/>
  </w:num>
  <w:num w:numId="35">
    <w:abstractNumId w:val="25"/>
  </w:num>
  <w:num w:numId="36">
    <w:abstractNumId w:val="15"/>
  </w:num>
  <w:num w:numId="37">
    <w:abstractNumId w:val="26"/>
  </w:num>
  <w:num w:numId="38">
    <w:abstractNumId w:val="31"/>
  </w:num>
  <w:num w:numId="39">
    <w:abstractNumId w:val="19"/>
  </w:num>
  <w:num w:numId="40">
    <w:abstractNumId w:val="0"/>
  </w:num>
  <w:num w:numId="41">
    <w:abstractNumId w:val="33"/>
  </w:num>
  <w:num w:numId="42">
    <w:abstractNumId w:val="1"/>
  </w:num>
  <w:num w:numId="43">
    <w:abstractNumId w:val="12"/>
  </w:num>
  <w:num w:numId="44">
    <w:abstractNumId w:val="27"/>
  </w:num>
  <w:num w:numId="45">
    <w:abstractNumId w:val="14"/>
  </w:num>
  <w:num w:numId="46">
    <w:abstractNumId w:val="2"/>
  </w:num>
  <w:num w:numId="47">
    <w:abstractNumId w:val="2"/>
  </w:num>
  <w:num w:numId="48">
    <w:abstractNumId w:val="35"/>
  </w:num>
  <w:num w:numId="49">
    <w:abstractNumId w:val="9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3B"/>
    <w:rsid w:val="000031D3"/>
    <w:rsid w:val="000037D6"/>
    <w:rsid w:val="00077317"/>
    <w:rsid w:val="000825A6"/>
    <w:rsid w:val="00091D3D"/>
    <w:rsid w:val="000B079B"/>
    <w:rsid w:val="000C216A"/>
    <w:rsid w:val="000C361D"/>
    <w:rsid w:val="000D4536"/>
    <w:rsid w:val="000E5E37"/>
    <w:rsid w:val="0014079F"/>
    <w:rsid w:val="00165377"/>
    <w:rsid w:val="00174C0B"/>
    <w:rsid w:val="001953EE"/>
    <w:rsid w:val="001A08D2"/>
    <w:rsid w:val="001C70CC"/>
    <w:rsid w:val="001D3B3F"/>
    <w:rsid w:val="001E1F5E"/>
    <w:rsid w:val="00211BFB"/>
    <w:rsid w:val="0021589B"/>
    <w:rsid w:val="00217C5B"/>
    <w:rsid w:val="002200C9"/>
    <w:rsid w:val="00221401"/>
    <w:rsid w:val="002407E1"/>
    <w:rsid w:val="00265F03"/>
    <w:rsid w:val="00287B40"/>
    <w:rsid w:val="0029106F"/>
    <w:rsid w:val="0029676C"/>
    <w:rsid w:val="002C18DB"/>
    <w:rsid w:val="002D4AC7"/>
    <w:rsid w:val="002D6097"/>
    <w:rsid w:val="002E117D"/>
    <w:rsid w:val="002E3438"/>
    <w:rsid w:val="0030287B"/>
    <w:rsid w:val="00302AD6"/>
    <w:rsid w:val="00325206"/>
    <w:rsid w:val="00340A34"/>
    <w:rsid w:val="003756CE"/>
    <w:rsid w:val="00380A4D"/>
    <w:rsid w:val="0038203D"/>
    <w:rsid w:val="00390145"/>
    <w:rsid w:val="003A3514"/>
    <w:rsid w:val="003B066E"/>
    <w:rsid w:val="003B22E8"/>
    <w:rsid w:val="003B52E4"/>
    <w:rsid w:val="003B5C91"/>
    <w:rsid w:val="003C3ED5"/>
    <w:rsid w:val="003D6662"/>
    <w:rsid w:val="003E180F"/>
    <w:rsid w:val="00405A84"/>
    <w:rsid w:val="0042223E"/>
    <w:rsid w:val="00471B1D"/>
    <w:rsid w:val="00472BD9"/>
    <w:rsid w:val="0047317F"/>
    <w:rsid w:val="00474EFC"/>
    <w:rsid w:val="004D43F9"/>
    <w:rsid w:val="004E01FC"/>
    <w:rsid w:val="004F0305"/>
    <w:rsid w:val="004F18F8"/>
    <w:rsid w:val="004F6248"/>
    <w:rsid w:val="004F7794"/>
    <w:rsid w:val="004F7D02"/>
    <w:rsid w:val="0050659E"/>
    <w:rsid w:val="005104EB"/>
    <w:rsid w:val="00514BCF"/>
    <w:rsid w:val="00535426"/>
    <w:rsid w:val="00550869"/>
    <w:rsid w:val="0055222F"/>
    <w:rsid w:val="005566FB"/>
    <w:rsid w:val="00561A40"/>
    <w:rsid w:val="00561D55"/>
    <w:rsid w:val="005847C4"/>
    <w:rsid w:val="005871C1"/>
    <w:rsid w:val="005A3E7A"/>
    <w:rsid w:val="005A573C"/>
    <w:rsid w:val="005B679D"/>
    <w:rsid w:val="005C0E73"/>
    <w:rsid w:val="005D5FFD"/>
    <w:rsid w:val="005F6E0C"/>
    <w:rsid w:val="00603AAC"/>
    <w:rsid w:val="00606407"/>
    <w:rsid w:val="006349E3"/>
    <w:rsid w:val="00646D10"/>
    <w:rsid w:val="0066494C"/>
    <w:rsid w:val="00666271"/>
    <w:rsid w:val="00667E64"/>
    <w:rsid w:val="00674B38"/>
    <w:rsid w:val="00692AE2"/>
    <w:rsid w:val="00703BB8"/>
    <w:rsid w:val="0071120E"/>
    <w:rsid w:val="0071129D"/>
    <w:rsid w:val="00714CC0"/>
    <w:rsid w:val="00731716"/>
    <w:rsid w:val="00754934"/>
    <w:rsid w:val="007602EE"/>
    <w:rsid w:val="00762072"/>
    <w:rsid w:val="007A746F"/>
    <w:rsid w:val="007D128A"/>
    <w:rsid w:val="007D2DD8"/>
    <w:rsid w:val="007F15A8"/>
    <w:rsid w:val="007F6D90"/>
    <w:rsid w:val="0080285D"/>
    <w:rsid w:val="00810856"/>
    <w:rsid w:val="00816AFC"/>
    <w:rsid w:val="0082360C"/>
    <w:rsid w:val="00827B67"/>
    <w:rsid w:val="00844D9D"/>
    <w:rsid w:val="00855D10"/>
    <w:rsid w:val="0085680E"/>
    <w:rsid w:val="00867CFD"/>
    <w:rsid w:val="0088377B"/>
    <w:rsid w:val="0088452F"/>
    <w:rsid w:val="0088661C"/>
    <w:rsid w:val="008A011A"/>
    <w:rsid w:val="008A20ED"/>
    <w:rsid w:val="009406EF"/>
    <w:rsid w:val="009534F1"/>
    <w:rsid w:val="009578A5"/>
    <w:rsid w:val="0098322A"/>
    <w:rsid w:val="00996E3B"/>
    <w:rsid w:val="009A132F"/>
    <w:rsid w:val="009A4CA5"/>
    <w:rsid w:val="009B049A"/>
    <w:rsid w:val="009B42DF"/>
    <w:rsid w:val="009D11BB"/>
    <w:rsid w:val="009D369B"/>
    <w:rsid w:val="009D3D13"/>
    <w:rsid w:val="00A1516C"/>
    <w:rsid w:val="00A230DB"/>
    <w:rsid w:val="00A23455"/>
    <w:rsid w:val="00A40E1A"/>
    <w:rsid w:val="00A41F04"/>
    <w:rsid w:val="00A46E31"/>
    <w:rsid w:val="00A6493E"/>
    <w:rsid w:val="00A82F10"/>
    <w:rsid w:val="00A918C4"/>
    <w:rsid w:val="00A9362D"/>
    <w:rsid w:val="00A941F0"/>
    <w:rsid w:val="00A96956"/>
    <w:rsid w:val="00AA35BB"/>
    <w:rsid w:val="00AB154C"/>
    <w:rsid w:val="00AB37E5"/>
    <w:rsid w:val="00AE15FC"/>
    <w:rsid w:val="00AE3344"/>
    <w:rsid w:val="00AF595D"/>
    <w:rsid w:val="00AF6B0D"/>
    <w:rsid w:val="00B2183F"/>
    <w:rsid w:val="00B376CE"/>
    <w:rsid w:val="00B44E81"/>
    <w:rsid w:val="00B8795C"/>
    <w:rsid w:val="00B87B01"/>
    <w:rsid w:val="00B90FC8"/>
    <w:rsid w:val="00BA3110"/>
    <w:rsid w:val="00BA4DFE"/>
    <w:rsid w:val="00BB1CFC"/>
    <w:rsid w:val="00BB54CD"/>
    <w:rsid w:val="00BD1BDF"/>
    <w:rsid w:val="00BD586F"/>
    <w:rsid w:val="00BF77C2"/>
    <w:rsid w:val="00C07657"/>
    <w:rsid w:val="00C51EE1"/>
    <w:rsid w:val="00C6077D"/>
    <w:rsid w:val="00C74FBB"/>
    <w:rsid w:val="00C81B6A"/>
    <w:rsid w:val="00C86789"/>
    <w:rsid w:val="00C9137B"/>
    <w:rsid w:val="00CA5CDD"/>
    <w:rsid w:val="00CA6C88"/>
    <w:rsid w:val="00CB3268"/>
    <w:rsid w:val="00CD2123"/>
    <w:rsid w:val="00CD5CA3"/>
    <w:rsid w:val="00D14B57"/>
    <w:rsid w:val="00D159DD"/>
    <w:rsid w:val="00D47ACA"/>
    <w:rsid w:val="00D547B9"/>
    <w:rsid w:val="00D74BAD"/>
    <w:rsid w:val="00D753CF"/>
    <w:rsid w:val="00D8620F"/>
    <w:rsid w:val="00D90E50"/>
    <w:rsid w:val="00D910DB"/>
    <w:rsid w:val="00DA3E0D"/>
    <w:rsid w:val="00DE79AD"/>
    <w:rsid w:val="00E073B6"/>
    <w:rsid w:val="00E37B03"/>
    <w:rsid w:val="00E42898"/>
    <w:rsid w:val="00E45C27"/>
    <w:rsid w:val="00ED2045"/>
    <w:rsid w:val="00ED31AE"/>
    <w:rsid w:val="00ED500A"/>
    <w:rsid w:val="00EE3951"/>
    <w:rsid w:val="00EF2CE9"/>
    <w:rsid w:val="00EF306B"/>
    <w:rsid w:val="00F110B7"/>
    <w:rsid w:val="00F15695"/>
    <w:rsid w:val="00F5027C"/>
    <w:rsid w:val="00F61E1E"/>
    <w:rsid w:val="00F62A78"/>
    <w:rsid w:val="00F81920"/>
    <w:rsid w:val="00F921FD"/>
    <w:rsid w:val="00FC3D63"/>
    <w:rsid w:val="00FD3CDF"/>
    <w:rsid w:val="00FF0142"/>
    <w:rsid w:val="00FF2314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4CCC05"/>
  <w15:docId w15:val="{40038E3A-144E-4A0D-A6A6-EB283B1E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Z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E3B"/>
    <w:rPr>
      <w:sz w:val="22"/>
      <w:szCs w:val="2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18F8"/>
    <w:pPr>
      <w:keepNext/>
      <w:outlineLvl w:val="1"/>
    </w:pPr>
    <w:rPr>
      <w:rFonts w:eastAsia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6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96E3B"/>
    <w:rPr>
      <w:sz w:val="22"/>
      <w:szCs w:val="22"/>
      <w:lang w:val="en-US"/>
    </w:rPr>
  </w:style>
  <w:style w:type="table" w:styleId="MediumGrid3-Accent1">
    <w:name w:val="Medium Grid 3 Accent 1"/>
    <w:basedOn w:val="TableNormal"/>
    <w:uiPriority w:val="69"/>
    <w:rsid w:val="00472BD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rfulGrid-Accent1">
    <w:name w:val="Colorful Grid Accent 1"/>
    <w:basedOn w:val="TableNormal"/>
    <w:uiPriority w:val="73"/>
    <w:rsid w:val="00472BD9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Header">
    <w:name w:val="header"/>
    <w:basedOn w:val="Normal"/>
    <w:link w:val="HeaderChar"/>
    <w:uiPriority w:val="99"/>
    <w:unhideWhenUsed/>
    <w:rsid w:val="00F819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819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19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81920"/>
    <w:rPr>
      <w:sz w:val="22"/>
      <w:szCs w:val="22"/>
    </w:rPr>
  </w:style>
  <w:style w:type="character" w:styleId="Hyperlink">
    <w:name w:val="Hyperlink"/>
    <w:uiPriority w:val="99"/>
    <w:unhideWhenUsed/>
    <w:rsid w:val="00F62A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C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5C9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234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34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345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45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23455"/>
    <w:rPr>
      <w:b/>
      <w:bCs/>
    </w:rPr>
  </w:style>
  <w:style w:type="paragraph" w:styleId="ListParagraph">
    <w:name w:val="List Paragraph"/>
    <w:basedOn w:val="Normal"/>
    <w:uiPriority w:val="34"/>
    <w:qFormat/>
    <w:rsid w:val="009D11BB"/>
    <w:pPr>
      <w:spacing w:after="200" w:line="276" w:lineRule="auto"/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A3E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3E0D"/>
  </w:style>
  <w:style w:type="character" w:styleId="FootnoteReference">
    <w:name w:val="footnote reference"/>
    <w:uiPriority w:val="99"/>
    <w:semiHidden/>
    <w:unhideWhenUsed/>
    <w:rsid w:val="00DA3E0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9"/>
    <w:rsid w:val="004F18F8"/>
    <w:rPr>
      <w:rFonts w:eastAsia="Times New Roman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99BFA-E312-4414-B844-AC423FD8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Vision International</Company>
  <LinksUpToDate>false</LinksUpToDate>
  <CharactersWithSpaces>7349</CharactersWithSpaces>
  <SharedDoc>false</SharedDoc>
  <HLinks>
    <vt:vector size="12" baseType="variant">
      <vt:variant>
        <vt:i4>6094866</vt:i4>
      </vt:variant>
      <vt:variant>
        <vt:i4>0</vt:i4>
      </vt:variant>
      <vt:variant>
        <vt:i4>0</vt:i4>
      </vt:variant>
      <vt:variant>
        <vt:i4>5</vt:i4>
      </vt:variant>
      <vt:variant>
        <vt:lpwstr>https://www.wvcentral.org/community/health/Pages/hnh/ChannelsofHope.aspx</vt:lpwstr>
      </vt:variant>
      <vt:variant>
        <vt:lpwstr/>
      </vt:variant>
      <vt:variant>
        <vt:i4>5898259</vt:i4>
      </vt:variant>
      <vt:variant>
        <vt:i4>2048</vt:i4>
      </vt:variant>
      <vt:variant>
        <vt:i4>1025</vt:i4>
      </vt:variant>
      <vt:variant>
        <vt:i4>1</vt:i4>
      </vt:variant>
      <vt:variant>
        <vt:lpwstr>CoH identity  1 line - with icon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Hall</dc:creator>
  <cp:lastModifiedBy>Carmen Tse</cp:lastModifiedBy>
  <cp:revision>2</cp:revision>
  <cp:lastPrinted>2014-01-09T13:51:00Z</cp:lastPrinted>
  <dcterms:created xsi:type="dcterms:W3CDTF">2016-08-09T20:31:00Z</dcterms:created>
  <dcterms:modified xsi:type="dcterms:W3CDTF">2016-08-09T20:31:00Z</dcterms:modified>
</cp:coreProperties>
</file>